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E2" w:rsidRPr="00AC0AE2" w:rsidRDefault="00AC0AE2" w:rsidP="00AC0AE2">
      <w:pPr>
        <w:shd w:val="clear" w:color="auto" w:fill="FFFFFF"/>
        <w:spacing w:before="150" w:after="150" w:line="312" w:lineRule="atLeast"/>
        <w:ind w:firstLine="708"/>
        <w:jc w:val="both"/>
        <w:rPr>
          <w:rFonts w:ascii="Times New Roman" w:eastAsia="Times New Roman" w:hAnsi="Times New Roman" w:cs="Times New Roman"/>
          <w:color w:val="000000" w:themeColor="text1"/>
          <w:sz w:val="20"/>
          <w:szCs w:val="20"/>
          <w:lang w:eastAsia="ru-RU"/>
        </w:rPr>
      </w:pPr>
      <w:proofErr w:type="spellStart"/>
      <w:r w:rsidRPr="00AC0AE2">
        <w:rPr>
          <w:rFonts w:ascii="Times New Roman" w:eastAsia="Times New Roman" w:hAnsi="Times New Roman" w:cs="Times New Roman"/>
          <w:color w:val="000000" w:themeColor="text1"/>
          <w:sz w:val="28"/>
          <w:szCs w:val="28"/>
          <w:lang w:eastAsia="ru-RU"/>
        </w:rPr>
        <w:t>Додаток</w:t>
      </w:r>
      <w:proofErr w:type="spellEnd"/>
      <w:r w:rsidRPr="00AC0AE2">
        <w:rPr>
          <w:rFonts w:ascii="Times New Roman" w:eastAsia="Times New Roman" w:hAnsi="Times New Roman" w:cs="Times New Roman"/>
          <w:color w:val="000000" w:themeColor="text1"/>
          <w:sz w:val="28"/>
          <w:szCs w:val="28"/>
          <w:lang w:eastAsia="ru-RU"/>
        </w:rPr>
        <w:t xml:space="preserve"> до листа </w:t>
      </w:r>
      <w:proofErr w:type="spellStart"/>
      <w:r w:rsidRPr="00AC0AE2">
        <w:rPr>
          <w:rFonts w:ascii="Times New Roman" w:eastAsia="Times New Roman" w:hAnsi="Times New Roman" w:cs="Times New Roman"/>
          <w:color w:val="000000" w:themeColor="text1"/>
          <w:sz w:val="28"/>
          <w:szCs w:val="28"/>
          <w:lang w:eastAsia="ru-RU"/>
        </w:rPr>
        <w:t>Міністерства</w:t>
      </w:r>
      <w:proofErr w:type="spellEnd"/>
      <w:r w:rsidRPr="00AC0AE2">
        <w:rPr>
          <w:rFonts w:ascii="Times New Roman" w:eastAsia="Times New Roman" w:hAnsi="Times New Roman" w:cs="Times New Roman"/>
          <w:color w:val="000000" w:themeColor="text1"/>
          <w:sz w:val="28"/>
          <w:szCs w:val="28"/>
          <w:lang w:eastAsia="ru-RU"/>
        </w:rPr>
        <w:t> </w:t>
      </w:r>
      <w:proofErr w:type="spellStart"/>
      <w:r w:rsidRPr="00AC0AE2">
        <w:rPr>
          <w:rFonts w:ascii="Times New Roman" w:eastAsia="Times New Roman" w:hAnsi="Times New Roman" w:cs="Times New Roman"/>
          <w:color w:val="000000" w:themeColor="text1"/>
          <w:sz w:val="28"/>
          <w:szCs w:val="28"/>
          <w:lang w:eastAsia="ru-RU"/>
        </w:rPr>
        <w:t>освіти</w:t>
      </w:r>
      <w:proofErr w:type="spellEnd"/>
      <w:r w:rsidRPr="00AC0AE2">
        <w:rPr>
          <w:rFonts w:ascii="Times New Roman" w:eastAsia="Times New Roman" w:hAnsi="Times New Roman" w:cs="Times New Roman"/>
          <w:color w:val="000000" w:themeColor="text1"/>
          <w:sz w:val="28"/>
          <w:szCs w:val="28"/>
          <w:lang w:eastAsia="ru-RU"/>
        </w:rPr>
        <w:t xml:space="preserve"> і науки </w:t>
      </w:r>
      <w:proofErr w:type="spellStart"/>
      <w:r w:rsidRPr="00AC0AE2">
        <w:rPr>
          <w:rFonts w:ascii="Times New Roman" w:eastAsia="Times New Roman" w:hAnsi="Times New Roman" w:cs="Times New Roman"/>
          <w:color w:val="000000" w:themeColor="text1"/>
          <w:sz w:val="28"/>
          <w:szCs w:val="28"/>
          <w:lang w:eastAsia="ru-RU"/>
        </w:rPr>
        <w:t>України</w:t>
      </w:r>
      <w:proofErr w:type="spellEnd"/>
    </w:p>
    <w:p w:rsidR="00AC0AE2" w:rsidRPr="00AC0AE2" w:rsidRDefault="00AC0AE2" w:rsidP="00AC0AE2">
      <w:pPr>
        <w:shd w:val="clear" w:color="auto" w:fill="FFFFFF"/>
        <w:spacing w:before="150" w:after="150" w:line="312" w:lineRule="atLeast"/>
        <w:ind w:firstLine="708"/>
        <w:jc w:val="both"/>
        <w:rPr>
          <w:rFonts w:ascii="Times New Roman" w:eastAsia="Times New Roman" w:hAnsi="Times New Roman" w:cs="Times New Roman"/>
          <w:color w:val="000000" w:themeColor="text1"/>
          <w:sz w:val="20"/>
          <w:szCs w:val="20"/>
          <w:lang w:eastAsia="ru-RU"/>
        </w:rPr>
      </w:pPr>
      <w:proofErr w:type="spellStart"/>
      <w:r w:rsidRPr="00AC0AE2">
        <w:rPr>
          <w:rFonts w:ascii="Times New Roman" w:eastAsia="Times New Roman" w:hAnsi="Times New Roman" w:cs="Times New Roman"/>
          <w:color w:val="000000" w:themeColor="text1"/>
          <w:sz w:val="28"/>
          <w:szCs w:val="28"/>
          <w:lang w:eastAsia="ru-RU"/>
        </w:rPr>
        <w:t>від</w:t>
      </w:r>
      <w:proofErr w:type="spellEnd"/>
      <w:r w:rsidRPr="00AC0AE2">
        <w:rPr>
          <w:rFonts w:ascii="Times New Roman" w:eastAsia="Times New Roman" w:hAnsi="Times New Roman" w:cs="Times New Roman"/>
          <w:color w:val="000000" w:themeColor="text1"/>
          <w:sz w:val="28"/>
          <w:szCs w:val="28"/>
          <w:lang w:eastAsia="ru-RU"/>
        </w:rPr>
        <w:t> 26.06. 2015 р. № 1/9-305</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b/>
          <w:bCs/>
          <w:color w:val="000000" w:themeColor="text1"/>
          <w:sz w:val="28"/>
          <w:szCs w:val="28"/>
          <w:lang w:val="uk-UA" w:eastAsia="ru-RU"/>
        </w:rPr>
        <w:t>Інформатика</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У 2015/2016 навчальному році учні 7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складеною з розрахунку 1 година на тиждень. Звертаємо увагу, що в програму внесено зміни, затверджені наказом Міністерства від 29.05.2015 № 585 «Про затвердження змін до навчальних програм для загальноосвітніх навчальних закладів ІІ ступеня». </w:t>
      </w:r>
      <w:proofErr w:type="spellStart"/>
      <w:r w:rsidRPr="00AC0AE2">
        <w:rPr>
          <w:rFonts w:ascii="Times New Roman" w:eastAsia="Times New Roman" w:hAnsi="Times New Roman" w:cs="Times New Roman"/>
          <w:color w:val="000000" w:themeColor="text1"/>
          <w:sz w:val="28"/>
          <w:szCs w:val="28"/>
          <w:lang w:eastAsia="ru-RU"/>
        </w:rPr>
        <w:t>Розвантажен</w:t>
      </w:r>
      <w:proofErr w:type="spellEnd"/>
      <w:r w:rsidRPr="00AC0AE2">
        <w:rPr>
          <w:rFonts w:ascii="Times New Roman" w:eastAsia="Times New Roman" w:hAnsi="Times New Roman" w:cs="Times New Roman"/>
          <w:color w:val="000000" w:themeColor="text1"/>
          <w:sz w:val="28"/>
          <w:szCs w:val="28"/>
          <w:lang w:val="uk-UA" w:eastAsia="ru-RU"/>
        </w:rPr>
        <w:t>у</w:t>
      </w:r>
      <w:r w:rsidRPr="00AC0AE2">
        <w:rPr>
          <w:rFonts w:ascii="Times New Roman" w:eastAsia="Times New Roman" w:hAnsi="Times New Roman" w:cs="Times New Roman"/>
          <w:color w:val="000000" w:themeColor="text1"/>
          <w:sz w:val="28"/>
          <w:szCs w:val="28"/>
          <w:lang w:eastAsia="ru-RU"/>
        </w:rPr>
        <w:t xml:space="preserve"> та </w:t>
      </w:r>
      <w:proofErr w:type="spellStart"/>
      <w:r w:rsidRPr="00AC0AE2">
        <w:rPr>
          <w:rFonts w:ascii="Times New Roman" w:eastAsia="Times New Roman" w:hAnsi="Times New Roman" w:cs="Times New Roman"/>
          <w:color w:val="000000" w:themeColor="text1"/>
          <w:sz w:val="28"/>
          <w:szCs w:val="28"/>
          <w:lang w:eastAsia="ru-RU"/>
        </w:rPr>
        <w:t>доопрацьован</w:t>
      </w:r>
      <w:proofErr w:type="spellEnd"/>
      <w:r w:rsidRPr="00AC0AE2">
        <w:rPr>
          <w:rFonts w:ascii="Times New Roman" w:eastAsia="Times New Roman" w:hAnsi="Times New Roman" w:cs="Times New Roman"/>
          <w:color w:val="000000" w:themeColor="text1"/>
          <w:sz w:val="28"/>
          <w:szCs w:val="28"/>
          <w:lang w:val="uk-UA" w:eastAsia="ru-RU"/>
        </w:rPr>
        <w:t>у</w:t>
      </w:r>
      <w:proofErr w:type="spellStart"/>
      <w:r w:rsidRPr="00AC0AE2">
        <w:rPr>
          <w:rFonts w:ascii="Times New Roman" w:eastAsia="Times New Roman" w:hAnsi="Times New Roman" w:cs="Times New Roman"/>
          <w:color w:val="000000" w:themeColor="text1"/>
          <w:sz w:val="28"/>
          <w:szCs w:val="28"/>
          <w:lang w:eastAsia="ru-RU"/>
        </w:rPr>
        <w:t>програм</w:t>
      </w:r>
      <w:proofErr w:type="spellEnd"/>
      <w:r w:rsidRPr="00AC0AE2">
        <w:rPr>
          <w:rFonts w:ascii="Times New Roman" w:eastAsia="Times New Roman" w:hAnsi="Times New Roman" w:cs="Times New Roman"/>
          <w:color w:val="000000" w:themeColor="text1"/>
          <w:sz w:val="28"/>
          <w:szCs w:val="28"/>
          <w:lang w:val="uk-UA" w:eastAsia="ru-RU"/>
        </w:rPr>
        <w:t>у</w:t>
      </w:r>
      <w:r w:rsidRPr="00AC0AE2">
        <w:rPr>
          <w:rFonts w:ascii="Times New Roman" w:eastAsia="Times New Roman" w:hAnsi="Times New Roman" w:cs="Times New Roman"/>
          <w:color w:val="000000" w:themeColor="text1"/>
          <w:sz w:val="28"/>
          <w:szCs w:val="28"/>
          <w:lang w:eastAsia="ru-RU"/>
        </w:rPr>
        <w:t> </w:t>
      </w:r>
      <w:proofErr w:type="spellStart"/>
      <w:r w:rsidRPr="00AC0AE2">
        <w:rPr>
          <w:rFonts w:ascii="Times New Roman" w:eastAsia="Times New Roman" w:hAnsi="Times New Roman" w:cs="Times New Roman"/>
          <w:color w:val="000000" w:themeColor="text1"/>
          <w:sz w:val="28"/>
          <w:szCs w:val="28"/>
          <w:lang w:eastAsia="ru-RU"/>
        </w:rPr>
        <w:t>розміщено</w:t>
      </w:r>
      <w:proofErr w:type="spellEnd"/>
      <w:r w:rsidRPr="00AC0AE2">
        <w:rPr>
          <w:rFonts w:ascii="Times New Roman" w:eastAsia="Times New Roman" w:hAnsi="Times New Roman" w:cs="Times New Roman"/>
          <w:color w:val="000000" w:themeColor="text1"/>
          <w:sz w:val="28"/>
          <w:szCs w:val="28"/>
          <w:lang w:eastAsia="ru-RU"/>
        </w:rPr>
        <w:t xml:space="preserve"> на </w:t>
      </w:r>
      <w:proofErr w:type="spellStart"/>
      <w:r w:rsidRPr="00AC0AE2">
        <w:rPr>
          <w:rFonts w:ascii="Times New Roman" w:eastAsia="Times New Roman" w:hAnsi="Times New Roman" w:cs="Times New Roman"/>
          <w:color w:val="000000" w:themeColor="text1"/>
          <w:sz w:val="28"/>
          <w:szCs w:val="28"/>
          <w:lang w:eastAsia="ru-RU"/>
        </w:rPr>
        <w:t>офіційному</w:t>
      </w:r>
      <w:proofErr w:type="spellEnd"/>
      <w:r w:rsidRPr="00AC0AE2">
        <w:rPr>
          <w:rFonts w:ascii="Times New Roman" w:eastAsia="Times New Roman" w:hAnsi="Times New Roman" w:cs="Times New Roman"/>
          <w:color w:val="000000" w:themeColor="text1"/>
          <w:sz w:val="28"/>
          <w:szCs w:val="28"/>
          <w:lang w:eastAsia="ru-RU"/>
        </w:rPr>
        <w:t xml:space="preserve"> веб-</w:t>
      </w:r>
      <w:proofErr w:type="spellStart"/>
      <w:r w:rsidRPr="00AC0AE2">
        <w:rPr>
          <w:rFonts w:ascii="Times New Roman" w:eastAsia="Times New Roman" w:hAnsi="Times New Roman" w:cs="Times New Roman"/>
          <w:color w:val="000000" w:themeColor="text1"/>
          <w:sz w:val="28"/>
          <w:szCs w:val="28"/>
          <w:lang w:eastAsia="ru-RU"/>
        </w:rPr>
        <w:t>сайті</w:t>
      </w:r>
      <w:proofErr w:type="spellEnd"/>
      <w:r w:rsidRPr="00AC0AE2">
        <w:rPr>
          <w:rFonts w:ascii="Times New Roman" w:eastAsia="Times New Roman" w:hAnsi="Times New Roman" w:cs="Times New Roman"/>
          <w:color w:val="000000" w:themeColor="text1"/>
          <w:sz w:val="28"/>
          <w:szCs w:val="28"/>
          <w:lang w:eastAsia="ru-RU"/>
        </w:rPr>
        <w:t xml:space="preserve"> МОН </w:t>
      </w:r>
      <w:proofErr w:type="spellStart"/>
      <w:r w:rsidRPr="00AC0AE2">
        <w:rPr>
          <w:rFonts w:ascii="Times New Roman" w:eastAsia="Times New Roman" w:hAnsi="Times New Roman" w:cs="Times New Roman"/>
          <w:color w:val="000000" w:themeColor="text1"/>
          <w:sz w:val="28"/>
          <w:szCs w:val="28"/>
          <w:lang w:eastAsia="ru-RU"/>
        </w:rPr>
        <w:t>України</w:t>
      </w:r>
      <w:proofErr w:type="spellEnd"/>
      <w:r w:rsidRPr="00AC0AE2">
        <w:rPr>
          <w:rFonts w:ascii="Times New Roman" w:eastAsia="Times New Roman" w:hAnsi="Times New Roman" w:cs="Times New Roman"/>
          <w:color w:val="000000" w:themeColor="text1"/>
          <w:sz w:val="28"/>
          <w:szCs w:val="28"/>
          <w:lang w:eastAsia="ru-RU"/>
        </w:rPr>
        <w:t>:</w:t>
      </w:r>
      <w:hyperlink r:id="rId5" w:history="1">
        <w:r w:rsidRPr="00AC0AE2">
          <w:rPr>
            <w:rFonts w:ascii="Times New Roman" w:eastAsia="Times New Roman" w:hAnsi="Times New Roman" w:cs="Times New Roman"/>
            <w:color w:val="000000" w:themeColor="text1"/>
            <w:sz w:val="28"/>
            <w:szCs w:val="28"/>
            <w:lang w:val="uk-UA" w:eastAsia="ru-RU"/>
          </w:rPr>
          <w:t>http://old.mon.gov.ua/ua/activity/education/56/692/educational_</w:t>
        </w:r>
        <w:r w:rsidRPr="00AC0AE2">
          <w:rPr>
            <w:rFonts w:ascii="Times New Roman" w:eastAsia="Times New Roman" w:hAnsi="Times New Roman" w:cs="Times New Roman"/>
            <w:color w:val="000000" w:themeColor="text1"/>
            <w:sz w:val="28"/>
            <w:szCs w:val="28"/>
            <w:lang w:val="uk-UA" w:eastAsia="ru-RU"/>
          </w:rPr>
          <w:br/>
        </w:r>
        <w:proofErr w:type="spellStart"/>
        <w:r w:rsidRPr="00AC0AE2">
          <w:rPr>
            <w:rFonts w:ascii="Times New Roman" w:eastAsia="Times New Roman" w:hAnsi="Times New Roman" w:cs="Times New Roman"/>
            <w:color w:val="000000" w:themeColor="text1"/>
            <w:sz w:val="28"/>
            <w:szCs w:val="28"/>
            <w:lang w:val="uk-UA" w:eastAsia="ru-RU"/>
          </w:rPr>
          <w:t>programs</w:t>
        </w:r>
        <w:proofErr w:type="spellEnd"/>
        <w:r w:rsidRPr="00AC0AE2">
          <w:rPr>
            <w:rFonts w:ascii="Times New Roman" w:eastAsia="Times New Roman" w:hAnsi="Times New Roman" w:cs="Times New Roman"/>
            <w:color w:val="000000" w:themeColor="text1"/>
            <w:sz w:val="28"/>
            <w:szCs w:val="28"/>
            <w:lang w:val="uk-UA" w:eastAsia="ru-RU"/>
          </w:rPr>
          <w:t>/1349869088/</w:t>
        </w:r>
      </w:hyperlink>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Таким чином у 7 класі учні загальноосвітніх навчальних закладів будуть вивчати наступні розділи:</w:t>
      </w:r>
    </w:p>
    <w:tbl>
      <w:tblPr>
        <w:tblW w:w="0" w:type="auto"/>
        <w:shd w:val="clear" w:color="auto" w:fill="FFFFFF"/>
        <w:tblCellMar>
          <w:left w:w="0" w:type="dxa"/>
          <w:right w:w="0" w:type="dxa"/>
        </w:tblCellMar>
        <w:tblLook w:val="04A0" w:firstRow="1" w:lastRow="0" w:firstColumn="1" w:lastColumn="0" w:noHBand="0" w:noVBand="1"/>
      </w:tblPr>
      <w:tblGrid>
        <w:gridCol w:w="6980"/>
        <w:gridCol w:w="2520"/>
      </w:tblGrid>
      <w:tr w:rsidR="00AC0AE2" w:rsidRPr="00AC0AE2" w:rsidTr="00AC0AE2">
        <w:tc>
          <w:tcPr>
            <w:tcW w:w="6980" w:type="dxa"/>
            <w:tcBorders>
              <w:top w:val="single" w:sz="8" w:space="0" w:color="4A86E8"/>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72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t>Назва розділу</w:t>
            </w:r>
          </w:p>
        </w:tc>
        <w:tc>
          <w:tcPr>
            <w:tcW w:w="2520" w:type="dxa"/>
            <w:tcBorders>
              <w:top w:val="single" w:sz="8" w:space="0" w:color="4A86E8"/>
              <w:left w:val="nil"/>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3"/>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t>Кількість годин</w:t>
            </w:r>
          </w:p>
        </w:tc>
      </w:tr>
      <w:tr w:rsidR="00AC0AE2" w:rsidRPr="00AC0AE2" w:rsidTr="00AC0AE2">
        <w:trPr>
          <w:trHeight w:val="241"/>
        </w:trPr>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Електронне листування</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4</w:t>
            </w:r>
          </w:p>
        </w:tc>
      </w:tr>
      <w:tr w:rsidR="00AC0AE2" w:rsidRPr="00AC0AE2" w:rsidTr="00AC0AE2">
        <w:trPr>
          <w:trHeight w:val="151"/>
        </w:trPr>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151"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Моделювання</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151"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3</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Алгоритми з повторенням і розгалуженням</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9</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Табличний процесор</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8</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 xml:space="preserve">Розв’язування </w:t>
            </w:r>
            <w:proofErr w:type="spellStart"/>
            <w:r w:rsidRPr="00AC0AE2">
              <w:rPr>
                <w:rFonts w:ascii="Times New Roman" w:eastAsia="Times New Roman" w:hAnsi="Times New Roman" w:cs="Times New Roman"/>
                <w:color w:val="000000" w:themeColor="text1"/>
                <w:sz w:val="24"/>
                <w:szCs w:val="24"/>
                <w:lang w:val="uk-UA" w:eastAsia="ru-RU"/>
              </w:rPr>
              <w:t>компетентнісних</w:t>
            </w:r>
            <w:proofErr w:type="spellEnd"/>
            <w:r w:rsidRPr="00AC0AE2">
              <w:rPr>
                <w:rFonts w:ascii="Times New Roman" w:eastAsia="Times New Roman" w:hAnsi="Times New Roman" w:cs="Times New Roman"/>
                <w:color w:val="000000" w:themeColor="text1"/>
                <w:sz w:val="24"/>
                <w:szCs w:val="24"/>
                <w:lang w:val="uk-UA" w:eastAsia="ru-RU"/>
              </w:rPr>
              <w:t xml:space="preserve"> задач</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4</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Виконання індивідуальних навчальних проектів, у тому числі з використанням програмних засобів навчального призначення (математика, фізика, хімія, біологія, географія тощо)</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4</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Резерв</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3</w:t>
            </w:r>
          </w:p>
        </w:tc>
      </w:tr>
      <w:tr w:rsidR="00AC0AE2" w:rsidRPr="00AC0AE2" w:rsidTr="00AC0AE2">
        <w:tc>
          <w:tcPr>
            <w:tcW w:w="6980" w:type="dxa"/>
            <w:tcBorders>
              <w:top w:val="nil"/>
              <w:left w:val="single" w:sz="8" w:space="0" w:color="4A86E8"/>
              <w:bottom w:val="single" w:sz="8" w:space="0" w:color="4A86E8"/>
              <w:right w:val="single" w:sz="8" w:space="0" w:color="4A86E8"/>
            </w:tcBorders>
            <w:shd w:val="clear" w:color="auto" w:fill="FFFFFF"/>
            <w:tcMar>
              <w:top w:w="140" w:type="dxa"/>
              <w:left w:w="140" w:type="dxa"/>
              <w:bottom w:w="140" w:type="dxa"/>
              <w:right w:w="140" w:type="dxa"/>
            </w:tcMar>
            <w:hideMark/>
          </w:tcPr>
          <w:p w:rsidR="00AC0AE2" w:rsidRPr="00AC0AE2" w:rsidRDefault="00AC0AE2" w:rsidP="00AC0AE2">
            <w:pPr>
              <w:spacing w:before="150" w:after="150" w:line="312" w:lineRule="atLeast"/>
              <w:ind w:firstLine="180"/>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lastRenderedPageBreak/>
              <w:t>Всього</w:t>
            </w:r>
          </w:p>
        </w:tc>
        <w:tc>
          <w:tcPr>
            <w:tcW w:w="2520" w:type="dxa"/>
            <w:tcBorders>
              <w:top w:val="nil"/>
              <w:left w:val="nil"/>
              <w:bottom w:val="single" w:sz="8" w:space="0" w:color="4A86E8"/>
              <w:right w:val="single" w:sz="8" w:space="0" w:color="4A86E8"/>
            </w:tcBorders>
            <w:shd w:val="clear" w:color="auto" w:fill="FFFFFF"/>
            <w:tcMar>
              <w:top w:w="140" w:type="dxa"/>
              <w:left w:w="140" w:type="dxa"/>
              <w:bottom w:w="140" w:type="dxa"/>
              <w:right w:w="140" w:type="dxa"/>
            </w:tcMar>
            <w:vAlign w:val="bottom"/>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35</w:t>
            </w:r>
          </w:p>
        </w:tc>
      </w:tr>
    </w:tbl>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Зміни відбулися в програмі для учнів 7 класу в темі «Моделювання»: зменшено обсяг навчального матеріалу теми, а відповідно і кількість годин на її вивчення, зменшено кількість обов’язкових практичних робіт. За рахунок цього збільшено кількість часу на вивчення теми «Алгоритми з повторенням і розгалуженням» та додано ще одну резервну годину.</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Рекомендуємо виконання практичної роботи № 2 «Побудова інформаційних моделей» поєднати з повторенням та закріпленням вмінь учнів працювати у графічному або текстовому редакторі, а між темами «Моделювання», «Алгоритми з повторенням та розгалуженням», «Табличний процесор» провести тісний зв’язок, продовживши формування вмінь учнів створювати алгоритмічні, табличні та графічні моделі в обраних вчителем середовищах для виконання алгоритмів та табличних розрахунків.</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Інформуємо, що для практичної реалізації теми «Алгоритми з повторенням та розгалуженням» можна використовувати безкоштовні он-лайн сервіси:</w:t>
      </w:r>
    </w:p>
    <w:p w:rsidR="00AC0AE2" w:rsidRPr="00AC0AE2" w:rsidRDefault="00AC0AE2" w:rsidP="00AC0AE2">
      <w:pPr>
        <w:shd w:val="clear" w:color="auto" w:fill="FFFFFF"/>
        <w:spacing w:before="150" w:after="150" w:line="312" w:lineRule="atLeast"/>
        <w:ind w:left="777"/>
        <w:jc w:val="both"/>
        <w:textAlignment w:val="baseline"/>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он-лайн середовище code.org (</w:t>
      </w:r>
      <w:hyperlink r:id="rId6" w:history="1">
        <w:r w:rsidRPr="00AC0AE2">
          <w:rPr>
            <w:rFonts w:ascii="Times New Roman" w:eastAsia="Times New Roman" w:hAnsi="Times New Roman" w:cs="Times New Roman"/>
            <w:color w:val="000000" w:themeColor="text1"/>
            <w:sz w:val="28"/>
            <w:szCs w:val="28"/>
            <w:lang w:val="uk-UA" w:eastAsia="ru-RU"/>
          </w:rPr>
          <w:t>https://studio.code.org</w:t>
        </w:r>
      </w:hyperlink>
      <w:r w:rsidRPr="00AC0AE2">
        <w:rPr>
          <w:rFonts w:ascii="Times New Roman" w:eastAsia="Times New Roman" w:hAnsi="Times New Roman" w:cs="Times New Roman"/>
          <w:color w:val="000000" w:themeColor="text1"/>
          <w:sz w:val="28"/>
          <w:szCs w:val="28"/>
          <w:lang w:val="uk-UA" w:eastAsia="ru-RU"/>
        </w:rPr>
        <w:t> – для реалізації завдань цієї теми найбільше підійдуть 3 та 4 курс);</w:t>
      </w:r>
    </w:p>
    <w:p w:rsidR="00AC0AE2" w:rsidRPr="00AC0AE2" w:rsidRDefault="00AC0AE2" w:rsidP="00AC0AE2">
      <w:pPr>
        <w:shd w:val="clear" w:color="auto" w:fill="FFFFFF"/>
        <w:spacing w:before="150" w:after="150" w:line="312" w:lineRule="atLeast"/>
        <w:ind w:left="777"/>
        <w:jc w:val="both"/>
        <w:textAlignment w:val="baseline"/>
        <w:rPr>
          <w:rFonts w:ascii="Times New Roman" w:eastAsia="Times New Roman" w:hAnsi="Times New Roman" w:cs="Times New Roman"/>
          <w:color w:val="000000" w:themeColor="text1"/>
          <w:sz w:val="20"/>
          <w:szCs w:val="20"/>
          <w:lang w:eastAsia="ru-RU"/>
        </w:rPr>
      </w:pPr>
      <w:hyperlink r:id="rId7" w:history="1">
        <w:r w:rsidRPr="00AC0AE2">
          <w:rPr>
            <w:rFonts w:ascii="Times New Roman" w:eastAsia="Times New Roman" w:hAnsi="Times New Roman" w:cs="Times New Roman"/>
            <w:color w:val="000000" w:themeColor="text1"/>
            <w:sz w:val="28"/>
            <w:szCs w:val="28"/>
            <w:lang w:val="uk-UA" w:eastAsia="ru-RU"/>
          </w:rPr>
          <w:t>http://codecombat.com/</w:t>
        </w:r>
      </w:hyperlink>
      <w:r w:rsidRPr="00AC0AE2">
        <w:rPr>
          <w:rFonts w:ascii="Times New Roman" w:eastAsia="Times New Roman" w:hAnsi="Times New Roman" w:cs="Times New Roman"/>
          <w:color w:val="000000" w:themeColor="text1"/>
          <w:sz w:val="28"/>
          <w:szCs w:val="28"/>
          <w:lang w:val="uk-UA" w:eastAsia="ru-RU"/>
        </w:rPr>
        <w:t>, навчання через гру.</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Зазначаємо, що вчитель має право корегувати послідовність вивчення тем, визначених у навчальній програмі на свій розсуд.</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Новою для учнів та вчителів, які викладають інформатику в 7 класі, буде тема «Розв’язування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 що є однією з важливих складових роботи в системі навчання інформатики. Розв’язування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 зазвичай передбачає сім етапів діяльності учнів:</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визначення</w:t>
      </w:r>
      <w:r w:rsidRPr="00AC0AE2">
        <w:rPr>
          <w:rFonts w:ascii="Times New Roman" w:eastAsia="Times New Roman" w:hAnsi="Times New Roman" w:cs="Times New Roman"/>
          <w:color w:val="000000" w:themeColor="text1"/>
          <w:sz w:val="28"/>
          <w:szCs w:val="28"/>
          <w:lang w:val="uk-UA" w:eastAsia="ru-RU"/>
        </w:rPr>
        <w:t>, ідентифікація даних: учень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proofErr w:type="spellStart"/>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пошук</w:t>
      </w:r>
      <w:r w:rsidRPr="00AC0AE2">
        <w:rPr>
          <w:rFonts w:ascii="Times New Roman" w:eastAsia="Times New Roman" w:hAnsi="Times New Roman" w:cs="Times New Roman"/>
          <w:color w:val="000000" w:themeColor="text1"/>
          <w:sz w:val="28"/>
          <w:szCs w:val="28"/>
          <w:lang w:val="uk-UA" w:eastAsia="ru-RU"/>
        </w:rPr>
        <w:t> дан</w:t>
      </w:r>
      <w:proofErr w:type="spellEnd"/>
      <w:r w:rsidRPr="00AC0AE2">
        <w:rPr>
          <w:rFonts w:ascii="Times New Roman" w:eastAsia="Times New Roman" w:hAnsi="Times New Roman" w:cs="Times New Roman"/>
          <w:color w:val="000000" w:themeColor="text1"/>
          <w:sz w:val="28"/>
          <w:szCs w:val="28"/>
          <w:lang w:val="uk-UA" w:eastAsia="ru-RU"/>
        </w:rPr>
        <w:t xml:space="preserve">их: учень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AC0AE2">
        <w:rPr>
          <w:rFonts w:ascii="Times New Roman" w:eastAsia="Times New Roman" w:hAnsi="Times New Roman" w:cs="Times New Roman"/>
          <w:color w:val="000000" w:themeColor="text1"/>
          <w:sz w:val="28"/>
          <w:szCs w:val="28"/>
          <w:lang w:val="uk-UA" w:eastAsia="ru-RU"/>
        </w:rPr>
        <w:t>співставляє</w:t>
      </w:r>
      <w:proofErr w:type="spellEnd"/>
      <w:r w:rsidRPr="00AC0AE2">
        <w:rPr>
          <w:rFonts w:ascii="Times New Roman" w:eastAsia="Times New Roman" w:hAnsi="Times New Roman" w:cs="Times New Roman"/>
          <w:color w:val="000000" w:themeColor="text1"/>
          <w:sz w:val="28"/>
          <w:szCs w:val="28"/>
          <w:lang w:val="uk-UA" w:eastAsia="ru-RU"/>
        </w:rPr>
        <w:t xml:space="preserve"> результати пошуку із метою, здійснює пошук даних в Інтернеті);</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управління</w:t>
      </w:r>
      <w:r w:rsidRPr="00AC0AE2">
        <w:rPr>
          <w:rFonts w:ascii="Times New Roman" w:eastAsia="Times New Roman" w:hAnsi="Times New Roman" w:cs="Times New Roman"/>
          <w:color w:val="000000" w:themeColor="text1"/>
          <w:sz w:val="28"/>
          <w:szCs w:val="28"/>
          <w:lang w:val="uk-UA" w:eastAsia="ru-RU"/>
        </w:rPr>
        <w:t>: учень структурує потрібні дані для пошуку розв’язку;</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інтеграція</w:t>
      </w:r>
      <w:r w:rsidRPr="00AC0AE2">
        <w:rPr>
          <w:rFonts w:ascii="Times New Roman" w:eastAsia="Times New Roman" w:hAnsi="Times New Roman" w:cs="Times New Roman"/>
          <w:color w:val="000000" w:themeColor="text1"/>
          <w:sz w:val="28"/>
          <w:szCs w:val="28"/>
          <w:lang w:val="uk-UA" w:eastAsia="ru-RU"/>
        </w:rPr>
        <w:t>: учень порівнює і зіставляє відомості із кількох джерел, виключає невідповідні та несуттєві відомості та вчасно зупиняє пошук;</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оцінка</w:t>
      </w:r>
      <w:r w:rsidRPr="00AC0AE2">
        <w:rPr>
          <w:rFonts w:ascii="Times New Roman" w:eastAsia="Times New Roman" w:hAnsi="Times New Roman" w:cs="Times New Roman"/>
          <w:color w:val="000000" w:themeColor="text1"/>
          <w:sz w:val="28"/>
          <w:szCs w:val="28"/>
          <w:lang w:val="uk-UA" w:eastAsia="ru-RU"/>
        </w:rPr>
        <w:t>: учень правильно шукає відомості в базі даних, відбирає ресурси згідно з сформульованими чи запропонованими критеріями;</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lastRenderedPageBreak/>
        <w:t>· </w:t>
      </w:r>
      <w:r w:rsidRPr="00AC0AE2">
        <w:rPr>
          <w:rFonts w:ascii="Times New Roman" w:eastAsia="Times New Roman" w:hAnsi="Times New Roman" w:cs="Times New Roman"/>
          <w:i/>
          <w:iCs/>
          <w:color w:val="000000" w:themeColor="text1"/>
          <w:sz w:val="28"/>
          <w:szCs w:val="28"/>
          <w:lang w:val="uk-UA" w:eastAsia="ru-RU"/>
        </w:rPr>
        <w:t>створення</w:t>
      </w:r>
      <w:r w:rsidRPr="00AC0AE2">
        <w:rPr>
          <w:rFonts w:ascii="Times New Roman" w:eastAsia="Times New Roman" w:hAnsi="Times New Roman" w:cs="Times New Roman"/>
          <w:color w:val="000000" w:themeColor="text1"/>
          <w:sz w:val="28"/>
          <w:szCs w:val="28"/>
          <w:lang w:val="uk-UA" w:eastAsia="ru-RU"/>
        </w:rPr>
        <w:t>: учень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proofErr w:type="spellStart"/>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i/>
          <w:iCs/>
          <w:color w:val="000000" w:themeColor="text1"/>
          <w:sz w:val="28"/>
          <w:szCs w:val="28"/>
          <w:lang w:val="uk-UA" w:eastAsia="ru-RU"/>
        </w:rPr>
        <w:t>передавання</w:t>
      </w:r>
      <w:r w:rsidRPr="00AC0AE2">
        <w:rPr>
          <w:rFonts w:ascii="Times New Roman" w:eastAsia="Times New Roman" w:hAnsi="Times New Roman" w:cs="Times New Roman"/>
          <w:color w:val="000000" w:themeColor="text1"/>
          <w:sz w:val="28"/>
          <w:szCs w:val="28"/>
          <w:lang w:val="uk-UA" w:eastAsia="ru-RU"/>
        </w:rPr>
        <w:t> повідомле</w:t>
      </w:r>
      <w:proofErr w:type="spellEnd"/>
      <w:r w:rsidRPr="00AC0AE2">
        <w:rPr>
          <w:rFonts w:ascii="Times New Roman" w:eastAsia="Times New Roman" w:hAnsi="Times New Roman" w:cs="Times New Roman"/>
          <w:color w:val="000000" w:themeColor="text1"/>
          <w:sz w:val="28"/>
          <w:szCs w:val="28"/>
          <w:lang w:val="uk-UA" w:eastAsia="ru-RU"/>
        </w:rPr>
        <w:t>нь: учень у разі потреби архівує дані, адаптує повідомлення для конкретної аудиторії, створює підсумковий документ акуратно та презентабельно.</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xml:space="preserve">При проектуванні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 слід врахувати, що в 7 класі опрацювання даних учнями повинно здійснюватися за допомогою однієї технології або в одному середовищі, у 8 класі – двох технологій або у двох середовищах, у 9 класі – кількох технологій або в кількох середовищах.</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Учитель самостійно добирає кількість і зміст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 Оцінювання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w:t>
      </w:r>
      <w:r w:rsidRPr="00AC0AE2">
        <w:rPr>
          <w:rFonts w:ascii="Times New Roman" w:eastAsia="Times New Roman" w:hAnsi="Times New Roman" w:cs="Times New Roman"/>
          <w:i/>
          <w:iCs/>
          <w:color w:val="000000" w:themeColor="text1"/>
          <w:sz w:val="28"/>
          <w:szCs w:val="28"/>
          <w:lang w:val="uk-UA" w:eastAsia="ru-RU"/>
        </w:rPr>
        <w:t> </w:t>
      </w:r>
      <w:r w:rsidRPr="00AC0AE2">
        <w:rPr>
          <w:rFonts w:ascii="Times New Roman" w:eastAsia="Times New Roman" w:hAnsi="Times New Roman" w:cs="Times New Roman"/>
          <w:b/>
          <w:bCs/>
          <w:color w:val="000000" w:themeColor="text1"/>
          <w:sz w:val="28"/>
          <w:szCs w:val="28"/>
          <w:lang w:val="uk-UA" w:eastAsia="ru-RU"/>
        </w:rPr>
        <w:t>є обов’язковим</w:t>
      </w:r>
      <w:r w:rsidRPr="00AC0AE2">
        <w:rPr>
          <w:rFonts w:ascii="Times New Roman" w:eastAsia="Times New Roman" w:hAnsi="Times New Roman" w:cs="Times New Roman"/>
          <w:color w:val="000000" w:themeColor="text1"/>
          <w:sz w:val="28"/>
          <w:szCs w:val="28"/>
          <w:lang w:val="uk-UA" w:eastAsia="ru-RU"/>
        </w:rPr>
        <w:t> для всіх учнів класу.</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Детальніше ознайомитися з теорією проектування </w:t>
      </w:r>
      <w:proofErr w:type="spellStart"/>
      <w:r w:rsidRPr="00AC0AE2">
        <w:rPr>
          <w:rFonts w:ascii="Times New Roman" w:eastAsia="Times New Roman" w:hAnsi="Times New Roman" w:cs="Times New Roman"/>
          <w:color w:val="000000" w:themeColor="text1"/>
          <w:sz w:val="28"/>
          <w:szCs w:val="28"/>
          <w:lang w:val="uk-UA" w:eastAsia="ru-RU"/>
        </w:rPr>
        <w:t>компетентнісних</w:t>
      </w:r>
      <w:proofErr w:type="spellEnd"/>
      <w:r w:rsidRPr="00AC0AE2">
        <w:rPr>
          <w:rFonts w:ascii="Times New Roman" w:eastAsia="Times New Roman" w:hAnsi="Times New Roman" w:cs="Times New Roman"/>
          <w:color w:val="000000" w:themeColor="text1"/>
          <w:sz w:val="28"/>
          <w:szCs w:val="28"/>
          <w:lang w:val="uk-UA" w:eastAsia="ru-RU"/>
        </w:rPr>
        <w:t xml:space="preserve"> задач у інформатиці можна за </w:t>
      </w:r>
      <w:proofErr w:type="spellStart"/>
      <w:r w:rsidRPr="00AC0AE2">
        <w:rPr>
          <w:rFonts w:ascii="Times New Roman" w:eastAsia="Times New Roman" w:hAnsi="Times New Roman" w:cs="Times New Roman"/>
          <w:color w:val="000000" w:themeColor="text1"/>
          <w:sz w:val="28"/>
          <w:szCs w:val="28"/>
          <w:lang w:val="uk-UA" w:eastAsia="ru-RU"/>
        </w:rPr>
        <w:t>покликаннями</w:t>
      </w:r>
      <w:proofErr w:type="spellEnd"/>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ind w:firstLine="720"/>
        <w:jc w:val="both"/>
        <w:textAlignment w:val="baseline"/>
        <w:rPr>
          <w:rFonts w:ascii="Times New Roman" w:eastAsia="Times New Roman" w:hAnsi="Times New Roman" w:cs="Times New Roman"/>
          <w:color w:val="000000" w:themeColor="text1"/>
          <w:sz w:val="20"/>
          <w:szCs w:val="20"/>
          <w:lang w:val="uk-UA" w:eastAsia="ru-RU"/>
        </w:rPr>
      </w:pPr>
      <w:hyperlink r:id="rId8" w:history="1">
        <w:r w:rsidRPr="00AC0AE2">
          <w:rPr>
            <w:rFonts w:ascii="Times New Roman" w:eastAsia="Times New Roman" w:hAnsi="Times New Roman" w:cs="Times New Roman"/>
            <w:color w:val="000000" w:themeColor="text1"/>
            <w:sz w:val="28"/>
            <w:szCs w:val="28"/>
            <w:lang w:val="uk-UA" w:eastAsia="ru-RU"/>
          </w:rPr>
          <w:t>http://www.ii.npu.edu.ua/files/Zbirnik_KOSN/13/03.pdf</w:t>
        </w:r>
      </w:hyperlink>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ind w:firstLine="720"/>
        <w:jc w:val="both"/>
        <w:textAlignment w:val="baseline"/>
        <w:rPr>
          <w:rFonts w:ascii="Times New Roman" w:eastAsia="Times New Roman" w:hAnsi="Times New Roman" w:cs="Times New Roman"/>
          <w:color w:val="000000" w:themeColor="text1"/>
          <w:sz w:val="20"/>
          <w:szCs w:val="20"/>
          <w:lang w:val="uk-UA" w:eastAsia="ru-RU"/>
        </w:rPr>
      </w:pPr>
      <w:hyperlink r:id="rId9" w:history="1">
        <w:r w:rsidRPr="00AC0AE2">
          <w:rPr>
            <w:rFonts w:ascii="Times New Roman" w:eastAsia="Times New Roman" w:hAnsi="Times New Roman" w:cs="Times New Roman"/>
            <w:color w:val="000000" w:themeColor="text1"/>
            <w:sz w:val="28"/>
            <w:szCs w:val="28"/>
            <w:lang w:val="uk-UA" w:eastAsia="ru-RU"/>
          </w:rPr>
          <w:t>http://ite.kspu.edu/issue-6/p-23-31/full</w:t>
        </w:r>
      </w:hyperlink>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Навчальний час, що відводиться на вивчення курсу інформатики, рекомендується розподіляти таким чином:</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30 % навчального часу відводиться на засвоєння теоретичних знань,</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70 % навчального часу - на формування практичних навичок роботи з сучасною комп’ютерною технікою та ІКТ.</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Під час вивчення курсу інформатики в 7 класі обов’язковим є проведення восьми практичних робіт. Тривалість виконання практичних робіт не повинна перевищувати 20 хвилин (санітарні норми щодо тривалості безперервної роботи за комп’ютером учнів цієї вікової категорії).</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Під час вивчення теми «Електронне листування» рекомендується використовувати українські поштові сервери, такі як:</w:t>
      </w:r>
      <w:proofErr w:type="spellStart"/>
      <w:r w:rsidRPr="00AC0AE2">
        <w:rPr>
          <w:rFonts w:ascii="Times New Roman" w:eastAsia="Times New Roman" w:hAnsi="Times New Roman" w:cs="Times New Roman"/>
          <w:color w:val="000000" w:themeColor="text1"/>
          <w:sz w:val="28"/>
          <w:szCs w:val="28"/>
          <w:lang w:val="uk-UA" w:eastAsia="ru-RU"/>
        </w:rPr>
        <w:t> </w:t>
      </w:r>
      <w:hyperlink r:id="rId10" w:history="1">
        <w:r w:rsidRPr="00AC0AE2">
          <w:rPr>
            <w:rFonts w:ascii="Times New Roman" w:eastAsia="Times New Roman" w:hAnsi="Times New Roman" w:cs="Times New Roman"/>
            <w:color w:val="000000" w:themeColor="text1"/>
            <w:sz w:val="28"/>
            <w:szCs w:val="28"/>
            <w:lang w:val="uk-UA" w:eastAsia="ru-RU"/>
          </w:rPr>
          <w:t>і.u</w:t>
        </w:r>
        <w:proofErr w:type="spellEnd"/>
        <w:r w:rsidRPr="00AC0AE2">
          <w:rPr>
            <w:rFonts w:ascii="Times New Roman" w:eastAsia="Times New Roman" w:hAnsi="Times New Roman" w:cs="Times New Roman"/>
            <w:color w:val="000000" w:themeColor="text1"/>
            <w:sz w:val="28"/>
            <w:szCs w:val="28"/>
            <w:lang w:val="uk-UA" w:eastAsia="ru-RU"/>
          </w:rPr>
          <w:t>a</w:t>
        </w:r>
      </w:hyperlink>
      <w:r w:rsidRPr="00AC0AE2">
        <w:rPr>
          <w:rFonts w:ascii="Times New Roman" w:eastAsia="Times New Roman" w:hAnsi="Times New Roman" w:cs="Times New Roman"/>
          <w:color w:val="000000" w:themeColor="text1"/>
          <w:sz w:val="28"/>
          <w:szCs w:val="28"/>
          <w:lang w:val="uk-UA" w:eastAsia="ru-RU"/>
        </w:rPr>
        <w:t>, ukr.net,</w:t>
      </w:r>
      <w:hyperlink r:id="rId11" w:history="1">
        <w:r w:rsidRPr="00AC0AE2">
          <w:rPr>
            <w:rFonts w:ascii="Times New Roman" w:eastAsia="Times New Roman" w:hAnsi="Times New Roman" w:cs="Times New Roman"/>
            <w:color w:val="000000" w:themeColor="text1"/>
            <w:sz w:val="28"/>
            <w:szCs w:val="28"/>
            <w:lang w:eastAsia="ru-RU"/>
          </w:rPr>
          <w:t> </w:t>
        </w:r>
        <w:proofErr w:type="spellStart"/>
        <w:r w:rsidRPr="00AC0AE2">
          <w:rPr>
            <w:rFonts w:ascii="Times New Roman" w:eastAsia="Times New Roman" w:hAnsi="Times New Roman" w:cs="Times New Roman"/>
            <w:color w:val="000000" w:themeColor="text1"/>
            <w:sz w:val="28"/>
            <w:szCs w:val="28"/>
            <w:lang w:val="uk-UA" w:eastAsia="ru-RU"/>
          </w:rPr>
          <w:t>mail.online.ua</w:t>
        </w:r>
        <w:proofErr w:type="spellEnd"/>
      </w:hyperlink>
      <w:r w:rsidRPr="00AC0AE2">
        <w:rPr>
          <w:rFonts w:ascii="Times New Roman" w:eastAsia="Times New Roman" w:hAnsi="Times New Roman" w:cs="Times New Roman"/>
          <w:color w:val="000000" w:themeColor="text1"/>
          <w:sz w:val="28"/>
          <w:szCs w:val="28"/>
          <w:lang w:val="uk-UA" w:eastAsia="ru-RU"/>
        </w:rPr>
        <w:t xml:space="preserve">, </w:t>
      </w:r>
      <w:proofErr w:type="spellStart"/>
      <w:r w:rsidRPr="00AC0AE2">
        <w:rPr>
          <w:rFonts w:ascii="Times New Roman" w:eastAsia="Times New Roman" w:hAnsi="Times New Roman" w:cs="Times New Roman"/>
          <w:color w:val="000000" w:themeColor="text1"/>
          <w:sz w:val="28"/>
          <w:szCs w:val="28"/>
          <w:lang w:val="uk-UA" w:eastAsia="ru-RU"/>
        </w:rPr>
        <w:t>meta.ua</w:t>
      </w:r>
      <w:proofErr w:type="spellEnd"/>
      <w:r w:rsidRPr="00AC0AE2">
        <w:rPr>
          <w:rFonts w:ascii="Times New Roman" w:eastAsia="Times New Roman" w:hAnsi="Times New Roman" w:cs="Times New Roman"/>
          <w:color w:val="000000" w:themeColor="text1"/>
          <w:sz w:val="28"/>
          <w:szCs w:val="28"/>
          <w:lang w:val="uk-UA" w:eastAsia="ru-RU"/>
        </w:rPr>
        <w:t>, ukrpost.net. Особливу увагу при вивченні теми рекомендується приділити етиці електронного листування, правилам безпечного листування.</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xml:space="preserve">У зв’язку з активним використанням ресурсів мережі Інтернет у навчально-виховному процесі постає нагальна потреба захисту дітей від інформації, яка несе загрозу їх морально-психічному здоров’ю. Під час проведення уроків і позакласних заходів з використанням мережі Інтернет потрібно не допускати можливості доступу учнів до сайтів, що містять жорстоку і аморальну інформацію. Рекомендуємо користуватися безкоштовними фільтрами та брандмауерами (з підтвердженням їх належності до комп’ютерних програм вільного використання) або тими, які доступні для навчального закладу та забезпечують відповідний рівень </w:t>
      </w:r>
      <w:r w:rsidRPr="00AC0AE2">
        <w:rPr>
          <w:rFonts w:ascii="Times New Roman" w:eastAsia="Times New Roman" w:hAnsi="Times New Roman" w:cs="Times New Roman"/>
          <w:color w:val="000000" w:themeColor="text1"/>
          <w:sz w:val="28"/>
          <w:szCs w:val="28"/>
          <w:lang w:val="uk-UA" w:eastAsia="ru-RU"/>
        </w:rPr>
        <w:lastRenderedPageBreak/>
        <w:t>захисту. Знайти інформацію про безпечний Інтернет можна на сайті</w:t>
      </w:r>
      <w:hyperlink r:id="rId12" w:history="1">
        <w:r w:rsidRPr="00AC0AE2">
          <w:rPr>
            <w:rFonts w:ascii="Times New Roman" w:eastAsia="Times New Roman" w:hAnsi="Times New Roman" w:cs="Times New Roman"/>
            <w:color w:val="000000" w:themeColor="text1"/>
            <w:sz w:val="28"/>
            <w:szCs w:val="28"/>
            <w:lang w:eastAsia="ru-RU"/>
          </w:rPr>
          <w:t> </w:t>
        </w:r>
      </w:hyperlink>
      <w:hyperlink r:id="rId13" w:history="1">
        <w:r w:rsidRPr="00AC0AE2">
          <w:rPr>
            <w:rFonts w:ascii="Times New Roman" w:eastAsia="Times New Roman" w:hAnsi="Times New Roman" w:cs="Times New Roman"/>
            <w:color w:val="000000" w:themeColor="text1"/>
            <w:sz w:val="28"/>
            <w:szCs w:val="28"/>
            <w:lang w:val="uk-UA" w:eastAsia="ru-RU"/>
          </w:rPr>
          <w:t>www.google.com/intl/uk/goodtoknow//</w:t>
        </w:r>
      </w:hyperlink>
      <w:r w:rsidRPr="00AC0AE2">
        <w:rPr>
          <w:rFonts w:ascii="Times New Roman" w:eastAsia="Times New Roman" w:hAnsi="Times New Roman" w:cs="Times New Roman"/>
          <w:color w:val="000000" w:themeColor="text1"/>
          <w:sz w:val="28"/>
          <w:szCs w:val="28"/>
          <w:u w:val="single"/>
          <w:lang w:val="uk-UA" w:eastAsia="ru-RU"/>
        </w:rPr>
        <w:t>.</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Наголошуємо, що </w:t>
      </w:r>
      <w:r w:rsidRPr="00AC0AE2">
        <w:rPr>
          <w:rFonts w:ascii="Times New Roman" w:eastAsia="Times New Roman" w:hAnsi="Times New Roman" w:cs="Times New Roman"/>
          <w:i/>
          <w:iCs/>
          <w:color w:val="000000" w:themeColor="text1"/>
          <w:sz w:val="28"/>
          <w:szCs w:val="28"/>
          <w:lang w:val="uk-UA" w:eastAsia="ru-RU"/>
        </w:rPr>
        <w:t>оцінювання навчальних індивідуальних і групових проектів</w:t>
      </w:r>
      <w:r w:rsidRPr="00AC0AE2">
        <w:rPr>
          <w:rFonts w:ascii="Times New Roman" w:eastAsia="Times New Roman" w:hAnsi="Times New Roman" w:cs="Times New Roman"/>
          <w:color w:val="000000" w:themeColor="text1"/>
          <w:sz w:val="28"/>
          <w:szCs w:val="28"/>
          <w:lang w:val="uk-UA" w:eastAsia="ru-RU"/>
        </w:rPr>
        <w:t> є обов’язковим для всіх учнів класу. Рекомендуємо звернути увагу на зазначену в пояснювальній записці до навчальної програми з інформатики для учнів 5-9 класів загальноосвітніх навчальних закладів можливість оцінювання індивідуальних досягнень учнів методом «</w:t>
      </w:r>
      <w:proofErr w:type="spellStart"/>
      <w:r w:rsidRPr="00AC0AE2">
        <w:rPr>
          <w:rFonts w:ascii="Times New Roman" w:eastAsia="Times New Roman" w:hAnsi="Times New Roman" w:cs="Times New Roman"/>
          <w:color w:val="000000" w:themeColor="text1"/>
          <w:sz w:val="28"/>
          <w:szCs w:val="28"/>
          <w:lang w:val="uk-UA" w:eastAsia="ru-RU"/>
        </w:rPr>
        <w:t>Портфоліо</w:t>
      </w:r>
      <w:proofErr w:type="spellEnd"/>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xml:space="preserve">Навчальні заклади, що обрали програму «Інформатика. 5-9 класи загальноосвітніх навчальних закладів з поглибленим вивченням предметів природничо-математичного циклу» (2012 рік; автори: Г. </w:t>
      </w:r>
      <w:proofErr w:type="spellStart"/>
      <w:r w:rsidRPr="00AC0AE2">
        <w:rPr>
          <w:rFonts w:ascii="Times New Roman" w:eastAsia="Times New Roman" w:hAnsi="Times New Roman" w:cs="Times New Roman"/>
          <w:color w:val="000000" w:themeColor="text1"/>
          <w:sz w:val="28"/>
          <w:szCs w:val="28"/>
          <w:lang w:val="uk-UA" w:eastAsia="ru-RU"/>
        </w:rPr>
        <w:t>Громко</w:t>
      </w:r>
      <w:proofErr w:type="spellEnd"/>
      <w:r w:rsidRPr="00AC0AE2">
        <w:rPr>
          <w:rFonts w:ascii="Times New Roman" w:eastAsia="Times New Roman" w:hAnsi="Times New Roman" w:cs="Times New Roman"/>
          <w:color w:val="000000" w:themeColor="text1"/>
          <w:sz w:val="28"/>
          <w:szCs w:val="28"/>
          <w:lang w:val="uk-UA" w:eastAsia="ru-RU"/>
        </w:rPr>
        <w:t xml:space="preserve">, Є. Іванов, </w:t>
      </w:r>
      <w:proofErr w:type="spellStart"/>
      <w:r w:rsidRPr="00AC0AE2">
        <w:rPr>
          <w:rFonts w:ascii="Times New Roman" w:eastAsia="Times New Roman" w:hAnsi="Times New Roman" w:cs="Times New Roman"/>
          <w:color w:val="000000" w:themeColor="text1"/>
          <w:sz w:val="28"/>
          <w:szCs w:val="28"/>
          <w:lang w:val="uk-UA" w:eastAsia="ru-RU"/>
        </w:rPr>
        <w:t>В. Лапінсь</w:t>
      </w:r>
      <w:proofErr w:type="spellEnd"/>
      <w:r w:rsidRPr="00AC0AE2">
        <w:rPr>
          <w:rFonts w:ascii="Times New Roman" w:eastAsia="Times New Roman" w:hAnsi="Times New Roman" w:cs="Times New Roman"/>
          <w:color w:val="000000" w:themeColor="text1"/>
          <w:sz w:val="28"/>
          <w:szCs w:val="28"/>
          <w:lang w:val="uk-UA" w:eastAsia="ru-RU"/>
        </w:rPr>
        <w:t xml:space="preserve">кий , В. Мельник, Ю. </w:t>
      </w:r>
      <w:proofErr w:type="spellStart"/>
      <w:r w:rsidRPr="00AC0AE2">
        <w:rPr>
          <w:rFonts w:ascii="Times New Roman" w:eastAsia="Times New Roman" w:hAnsi="Times New Roman" w:cs="Times New Roman"/>
          <w:color w:val="000000" w:themeColor="text1"/>
          <w:sz w:val="28"/>
          <w:szCs w:val="28"/>
          <w:lang w:val="uk-UA" w:eastAsia="ru-RU"/>
        </w:rPr>
        <w:t>Пасіхов</w:t>
      </w:r>
      <w:proofErr w:type="spellEnd"/>
      <w:r w:rsidRPr="00AC0AE2">
        <w:rPr>
          <w:rFonts w:ascii="Times New Roman" w:eastAsia="Times New Roman" w:hAnsi="Times New Roman" w:cs="Times New Roman"/>
          <w:color w:val="000000" w:themeColor="text1"/>
          <w:sz w:val="28"/>
          <w:szCs w:val="28"/>
          <w:lang w:val="uk-UA" w:eastAsia="ru-RU"/>
        </w:rPr>
        <w:t>, В. Руденко), продовжують у 7 класі навчання за цією програмою.</w:t>
      </w:r>
    </w:p>
    <w:p w:rsidR="00AC0AE2" w:rsidRPr="00AC0AE2" w:rsidRDefault="00AC0AE2" w:rsidP="00AC0AE2">
      <w:pPr>
        <w:shd w:val="clear" w:color="auto" w:fill="FFFFFF"/>
        <w:spacing w:before="150" w:after="150" w:line="312" w:lineRule="atLeast"/>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Для опанування інформатики у школах з поглибленим вивченням предметів математично-природничого циклу базовими є розділи:</w:t>
      </w:r>
    </w:p>
    <w:tbl>
      <w:tblPr>
        <w:tblW w:w="0" w:type="auto"/>
        <w:shd w:val="clear" w:color="auto" w:fill="FFFFFF"/>
        <w:tblCellMar>
          <w:left w:w="0" w:type="dxa"/>
          <w:right w:w="0" w:type="dxa"/>
        </w:tblCellMar>
        <w:tblLook w:val="04A0" w:firstRow="1" w:lastRow="0" w:firstColumn="1" w:lastColumn="0" w:noHBand="0" w:noVBand="1"/>
      </w:tblPr>
      <w:tblGrid>
        <w:gridCol w:w="6738"/>
        <w:gridCol w:w="2764"/>
      </w:tblGrid>
      <w:tr w:rsidR="00AC0AE2" w:rsidRPr="00AC0AE2" w:rsidTr="00AC0AE2">
        <w:trPr>
          <w:trHeight w:val="481"/>
        </w:trPr>
        <w:tc>
          <w:tcPr>
            <w:tcW w:w="67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t>Назва розділу</w:t>
            </w:r>
          </w:p>
        </w:tc>
        <w:tc>
          <w:tcPr>
            <w:tcW w:w="27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t>Кількість годин</w:t>
            </w:r>
          </w:p>
        </w:tc>
      </w:tr>
      <w:tr w:rsidR="00AC0AE2" w:rsidRPr="00AC0AE2" w:rsidTr="00AC0AE2">
        <w:trPr>
          <w:trHeight w:val="466"/>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Інформація та її властивості</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2</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Службове програмне забезпечення</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4</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Основи інформаційної безпеки</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2</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Мережеві технології</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4</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Опрацювання даних у таблицях</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8</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Комп’ютерне моделювання</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2</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Алгоритмізація та програмування</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5</w:t>
            </w:r>
          </w:p>
        </w:tc>
      </w:tr>
      <w:tr w:rsidR="00AC0AE2" w:rsidRPr="00AC0AE2" w:rsidTr="00AC0AE2">
        <w:trPr>
          <w:trHeight w:val="481"/>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Виконання індивідуального проекту</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after="0" w:line="240" w:lineRule="auto"/>
              <w:jc w:val="both"/>
              <w:rPr>
                <w:rFonts w:ascii="Times New Roman" w:eastAsia="Times New Roman" w:hAnsi="Times New Roman" w:cs="Times New Roman"/>
                <w:color w:val="000000" w:themeColor="text1"/>
                <w:sz w:val="20"/>
                <w:szCs w:val="20"/>
                <w:lang w:eastAsia="ru-RU"/>
              </w:rPr>
            </w:pPr>
          </w:p>
        </w:tc>
      </w:tr>
      <w:tr w:rsidR="00AC0AE2" w:rsidRPr="00AC0AE2" w:rsidTr="00AC0AE2">
        <w:trPr>
          <w:trHeight w:val="466"/>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Резерв</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5</w:t>
            </w:r>
          </w:p>
        </w:tc>
      </w:tr>
      <w:tr w:rsidR="00AC0AE2" w:rsidRPr="00AC0AE2" w:rsidTr="00AC0AE2">
        <w:trPr>
          <w:trHeight w:val="496"/>
        </w:trPr>
        <w:tc>
          <w:tcPr>
            <w:tcW w:w="6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b/>
                <w:bCs/>
                <w:color w:val="000000" w:themeColor="text1"/>
                <w:sz w:val="24"/>
                <w:szCs w:val="24"/>
                <w:lang w:val="uk-UA" w:eastAsia="ru-RU"/>
              </w:rPr>
              <w:t>Усього</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0AE2" w:rsidRPr="00AC0AE2" w:rsidRDefault="00AC0AE2" w:rsidP="00AC0AE2">
            <w:pPr>
              <w:spacing w:before="150" w:after="150" w:line="312" w:lineRule="atLeast"/>
              <w:jc w:val="both"/>
              <w:rPr>
                <w:rFonts w:ascii="Times New Roman" w:eastAsia="Times New Roman" w:hAnsi="Times New Roman" w:cs="Times New Roman"/>
                <w:color w:val="000000" w:themeColor="text1"/>
                <w:sz w:val="24"/>
                <w:szCs w:val="24"/>
                <w:lang w:eastAsia="ru-RU"/>
              </w:rPr>
            </w:pPr>
            <w:r w:rsidRPr="00AC0AE2">
              <w:rPr>
                <w:rFonts w:ascii="Times New Roman" w:eastAsia="Times New Roman" w:hAnsi="Times New Roman" w:cs="Times New Roman"/>
                <w:color w:val="000000" w:themeColor="text1"/>
                <w:sz w:val="24"/>
                <w:szCs w:val="24"/>
                <w:lang w:val="uk-UA" w:eastAsia="ru-RU"/>
              </w:rPr>
              <w:t>35</w:t>
            </w:r>
          </w:p>
        </w:tc>
      </w:tr>
    </w:tbl>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Варіативну складову навчального плану в 7 класі можна реалізувати, обравши такі курси за вибором:</w:t>
      </w:r>
    </w:p>
    <w:p w:rsidR="00AC0AE2" w:rsidRPr="00AC0AE2" w:rsidRDefault="00AC0AE2" w:rsidP="00AC0AE2">
      <w:pPr>
        <w:shd w:val="clear" w:color="auto" w:fill="FFFFFF"/>
        <w:spacing w:before="150" w:after="150" w:line="312" w:lineRule="atLeast"/>
        <w:ind w:left="777"/>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 xml:space="preserve">Проектування </w:t>
      </w:r>
      <w:proofErr w:type="spellStart"/>
      <w:r w:rsidRPr="00AC0AE2">
        <w:rPr>
          <w:rFonts w:ascii="Times New Roman" w:eastAsia="Times New Roman" w:hAnsi="Times New Roman" w:cs="Times New Roman"/>
          <w:color w:val="000000" w:themeColor="text1"/>
          <w:sz w:val="28"/>
          <w:szCs w:val="28"/>
          <w:lang w:val="uk-UA" w:eastAsia="ru-RU"/>
        </w:rPr>
        <w:t>робототехнічних</w:t>
      </w:r>
      <w:proofErr w:type="spellEnd"/>
      <w:r w:rsidRPr="00AC0AE2">
        <w:rPr>
          <w:rFonts w:ascii="Times New Roman" w:eastAsia="Times New Roman" w:hAnsi="Times New Roman" w:cs="Times New Roman"/>
          <w:color w:val="000000" w:themeColor="text1"/>
          <w:sz w:val="28"/>
          <w:szCs w:val="28"/>
          <w:lang w:val="uk-UA" w:eastAsia="ru-RU"/>
        </w:rPr>
        <w:t xml:space="preserve"> систем (авт. І. Кіт, О. Кіт);</w:t>
      </w:r>
    </w:p>
    <w:p w:rsidR="00AC0AE2" w:rsidRPr="00AC0AE2" w:rsidRDefault="00AC0AE2" w:rsidP="00AC0AE2">
      <w:pPr>
        <w:shd w:val="clear" w:color="auto" w:fill="FFFFFF"/>
        <w:spacing w:before="150" w:after="150" w:line="312" w:lineRule="atLeast"/>
        <w:ind w:left="777"/>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Основи </w:t>
      </w:r>
      <w:r w:rsidRPr="00AC0AE2">
        <w:rPr>
          <w:rFonts w:ascii="Times New Roman" w:eastAsia="Times New Roman" w:hAnsi="Times New Roman" w:cs="Times New Roman"/>
          <w:color w:val="000000" w:themeColor="text1"/>
          <w:spacing w:val="-1"/>
          <w:sz w:val="28"/>
          <w:szCs w:val="28"/>
          <w:lang w:val="uk-UA" w:eastAsia="ru-RU"/>
        </w:rPr>
        <w:t>програмуванн</w:t>
      </w:r>
      <w:r w:rsidRPr="00AC0AE2">
        <w:rPr>
          <w:rFonts w:ascii="Times New Roman" w:eastAsia="Times New Roman" w:hAnsi="Times New Roman" w:cs="Times New Roman"/>
          <w:color w:val="000000" w:themeColor="text1"/>
          <w:sz w:val="28"/>
          <w:szCs w:val="28"/>
          <w:lang w:val="uk-UA" w:eastAsia="ru-RU"/>
        </w:rPr>
        <w:t>я (авт. </w:t>
      </w:r>
      <w:r w:rsidRPr="00AC0AE2">
        <w:rPr>
          <w:rFonts w:ascii="Times New Roman" w:eastAsia="Times New Roman" w:hAnsi="Times New Roman" w:cs="Times New Roman"/>
          <w:color w:val="000000" w:themeColor="text1"/>
          <w:spacing w:val="-1"/>
          <w:sz w:val="28"/>
          <w:szCs w:val="28"/>
          <w:lang w:val="uk-UA" w:eastAsia="ru-RU"/>
        </w:rPr>
        <w:t xml:space="preserve">С. </w:t>
      </w:r>
      <w:proofErr w:type="spellStart"/>
      <w:r w:rsidRPr="00AC0AE2">
        <w:rPr>
          <w:rFonts w:ascii="Times New Roman" w:eastAsia="Times New Roman" w:hAnsi="Times New Roman" w:cs="Times New Roman"/>
          <w:color w:val="000000" w:themeColor="text1"/>
          <w:spacing w:val="-1"/>
          <w:sz w:val="28"/>
          <w:szCs w:val="28"/>
          <w:lang w:val="uk-UA" w:eastAsia="ru-RU"/>
        </w:rPr>
        <w:t>Вапнічний</w:t>
      </w:r>
      <w:proofErr w:type="spellEnd"/>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color w:val="000000" w:themeColor="text1"/>
          <w:spacing w:val="-1"/>
          <w:sz w:val="28"/>
          <w:szCs w:val="28"/>
          <w:lang w:val="uk-UA" w:eastAsia="ru-RU"/>
        </w:rPr>
        <w:t>В. Зубик</w:t>
      </w:r>
      <w:r w:rsidRPr="00AC0AE2">
        <w:rPr>
          <w:rFonts w:ascii="Times New Roman" w:eastAsia="Times New Roman" w:hAnsi="Times New Roman" w:cs="Times New Roman"/>
          <w:color w:val="000000" w:themeColor="text1"/>
          <w:sz w:val="28"/>
          <w:szCs w:val="28"/>
          <w:lang w:val="uk-UA" w:eastAsia="ru-RU"/>
        </w:rPr>
        <w:t>, </w:t>
      </w:r>
      <w:r w:rsidRPr="00AC0AE2">
        <w:rPr>
          <w:rFonts w:ascii="Times New Roman" w:eastAsia="Times New Roman" w:hAnsi="Times New Roman" w:cs="Times New Roman"/>
          <w:color w:val="000000" w:themeColor="text1"/>
          <w:spacing w:val="-1"/>
          <w:sz w:val="28"/>
          <w:szCs w:val="28"/>
          <w:lang w:val="uk-UA" w:eastAsia="ru-RU"/>
        </w:rPr>
        <w:t xml:space="preserve">В. </w:t>
      </w:r>
      <w:proofErr w:type="spellStart"/>
      <w:r w:rsidRPr="00AC0AE2">
        <w:rPr>
          <w:rFonts w:ascii="Times New Roman" w:eastAsia="Times New Roman" w:hAnsi="Times New Roman" w:cs="Times New Roman"/>
          <w:color w:val="000000" w:themeColor="text1"/>
          <w:spacing w:val="-1"/>
          <w:sz w:val="28"/>
          <w:szCs w:val="28"/>
          <w:lang w:val="uk-UA" w:eastAsia="ru-RU"/>
        </w:rPr>
        <w:t>Ребрина</w:t>
      </w:r>
      <w:proofErr w:type="spellEnd"/>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ind w:left="777"/>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Інструменти для </w:t>
      </w:r>
      <w:proofErr w:type="spellStart"/>
      <w:r w:rsidRPr="00AC0AE2">
        <w:rPr>
          <w:rFonts w:ascii="Times New Roman" w:eastAsia="Times New Roman" w:hAnsi="Times New Roman" w:cs="Times New Roman"/>
          <w:color w:val="000000" w:themeColor="text1"/>
          <w:sz w:val="28"/>
          <w:szCs w:val="28"/>
          <w:lang w:val="uk-UA" w:eastAsia="ru-RU"/>
        </w:rPr>
        <w:t>веб-дизайну</w:t>
      </w:r>
      <w:proofErr w:type="spellEnd"/>
      <w:r w:rsidRPr="00AC0AE2">
        <w:rPr>
          <w:rFonts w:ascii="Times New Roman" w:eastAsia="Times New Roman" w:hAnsi="Times New Roman" w:cs="Times New Roman"/>
          <w:color w:val="000000" w:themeColor="text1"/>
          <w:sz w:val="28"/>
          <w:szCs w:val="28"/>
          <w:lang w:val="uk-UA" w:eastAsia="ru-RU"/>
        </w:rPr>
        <w:t xml:space="preserve"> (авт. І. Фоменко);</w:t>
      </w:r>
    </w:p>
    <w:p w:rsidR="00AC0AE2" w:rsidRPr="00AC0AE2" w:rsidRDefault="00AC0AE2" w:rsidP="00AC0AE2">
      <w:pPr>
        <w:shd w:val="clear" w:color="auto" w:fill="FFFFFF"/>
        <w:spacing w:before="150" w:after="150" w:line="312" w:lineRule="atLeast"/>
        <w:ind w:left="777"/>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lastRenderedPageBreak/>
        <w:t xml:space="preserve">«Хмарні сервіси Office 365» (авт. С. Литвинова, Г. </w:t>
      </w:r>
      <w:proofErr w:type="spellStart"/>
      <w:r w:rsidRPr="00AC0AE2">
        <w:rPr>
          <w:rFonts w:ascii="Times New Roman" w:eastAsia="Times New Roman" w:hAnsi="Times New Roman" w:cs="Times New Roman"/>
          <w:color w:val="000000" w:themeColor="text1"/>
          <w:sz w:val="28"/>
          <w:szCs w:val="28"/>
          <w:lang w:val="uk-UA" w:eastAsia="ru-RU"/>
        </w:rPr>
        <w:t>Абросімова</w:t>
      </w:r>
      <w:proofErr w:type="spellEnd"/>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Рекомендуємо популяризувати серед учнів 8-11 класів конкурси, пов'язані з розробкою та підтримкою вільних програм (</w:t>
      </w:r>
      <w:proofErr w:type="spellStart"/>
      <w:r w:rsidRPr="00AC0AE2">
        <w:rPr>
          <w:rFonts w:ascii="Times New Roman" w:eastAsia="Times New Roman" w:hAnsi="Times New Roman" w:cs="Times New Roman"/>
          <w:color w:val="000000" w:themeColor="text1"/>
          <w:sz w:val="28"/>
          <w:szCs w:val="28"/>
          <w:lang w:val="uk-UA" w:eastAsia="ru-RU"/>
        </w:rPr>
        <w:t>Google</w:t>
      </w:r>
      <w:proofErr w:type="spellEnd"/>
      <w:r w:rsidRPr="00AC0AE2">
        <w:rPr>
          <w:rFonts w:ascii="Times New Roman" w:eastAsia="Times New Roman" w:hAnsi="Times New Roman" w:cs="Times New Roman"/>
          <w:color w:val="000000" w:themeColor="text1"/>
          <w:sz w:val="28"/>
          <w:szCs w:val="28"/>
          <w:lang w:val="uk-UA" w:eastAsia="ru-RU"/>
        </w:rPr>
        <w:t xml:space="preserve"> Code-In, </w:t>
      </w:r>
      <w:proofErr w:type="spellStart"/>
      <w:r w:rsidRPr="00AC0AE2">
        <w:rPr>
          <w:rFonts w:ascii="Times New Roman" w:eastAsia="Times New Roman" w:hAnsi="Times New Roman" w:cs="Times New Roman"/>
          <w:color w:val="000000" w:themeColor="text1"/>
          <w:sz w:val="28"/>
          <w:szCs w:val="28"/>
          <w:lang w:val="uk-UA" w:eastAsia="ru-RU"/>
        </w:rPr>
        <w:t>Google</w:t>
      </w:r>
      <w:proofErr w:type="spellEnd"/>
      <w:r w:rsidRPr="00AC0AE2">
        <w:rPr>
          <w:rFonts w:ascii="Times New Roman" w:eastAsia="Times New Roman" w:hAnsi="Times New Roman" w:cs="Times New Roman"/>
          <w:color w:val="000000" w:themeColor="text1"/>
          <w:sz w:val="28"/>
          <w:szCs w:val="28"/>
          <w:lang w:val="uk-UA" w:eastAsia="ru-RU"/>
        </w:rPr>
        <w:t xml:space="preserve"> </w:t>
      </w:r>
      <w:proofErr w:type="spellStart"/>
      <w:r w:rsidRPr="00AC0AE2">
        <w:rPr>
          <w:rFonts w:ascii="Times New Roman" w:eastAsia="Times New Roman" w:hAnsi="Times New Roman" w:cs="Times New Roman"/>
          <w:color w:val="000000" w:themeColor="text1"/>
          <w:sz w:val="28"/>
          <w:szCs w:val="28"/>
          <w:lang w:val="uk-UA" w:eastAsia="ru-RU"/>
        </w:rPr>
        <w:t>Summer</w:t>
      </w:r>
      <w:proofErr w:type="spellEnd"/>
      <w:r w:rsidRPr="00AC0AE2">
        <w:rPr>
          <w:rFonts w:ascii="Times New Roman" w:eastAsia="Times New Roman" w:hAnsi="Times New Roman" w:cs="Times New Roman"/>
          <w:color w:val="000000" w:themeColor="text1"/>
          <w:sz w:val="28"/>
          <w:szCs w:val="28"/>
          <w:lang w:val="uk-UA" w:eastAsia="ru-RU"/>
        </w:rPr>
        <w:t xml:space="preserve"> </w:t>
      </w:r>
      <w:proofErr w:type="spellStart"/>
      <w:r w:rsidRPr="00AC0AE2">
        <w:rPr>
          <w:rFonts w:ascii="Times New Roman" w:eastAsia="Times New Roman" w:hAnsi="Times New Roman" w:cs="Times New Roman"/>
          <w:color w:val="000000" w:themeColor="text1"/>
          <w:sz w:val="28"/>
          <w:szCs w:val="28"/>
          <w:lang w:val="uk-UA" w:eastAsia="ru-RU"/>
        </w:rPr>
        <w:t>of</w:t>
      </w:r>
      <w:proofErr w:type="spellEnd"/>
      <w:r w:rsidRPr="00AC0AE2">
        <w:rPr>
          <w:rFonts w:ascii="Times New Roman" w:eastAsia="Times New Roman" w:hAnsi="Times New Roman" w:cs="Times New Roman"/>
          <w:color w:val="000000" w:themeColor="text1"/>
          <w:sz w:val="28"/>
          <w:szCs w:val="28"/>
          <w:lang w:val="uk-UA" w:eastAsia="ru-RU"/>
        </w:rPr>
        <w:t xml:space="preserve"> </w:t>
      </w:r>
      <w:proofErr w:type="spellStart"/>
      <w:r w:rsidRPr="00AC0AE2">
        <w:rPr>
          <w:rFonts w:ascii="Times New Roman" w:eastAsia="Times New Roman" w:hAnsi="Times New Roman" w:cs="Times New Roman"/>
          <w:color w:val="000000" w:themeColor="text1"/>
          <w:sz w:val="28"/>
          <w:szCs w:val="28"/>
          <w:lang w:val="uk-UA" w:eastAsia="ru-RU"/>
        </w:rPr>
        <w:t>Code</w:t>
      </w:r>
      <w:proofErr w:type="spellEnd"/>
      <w:r w:rsidRPr="00AC0AE2">
        <w:rPr>
          <w:rFonts w:ascii="Times New Roman" w:eastAsia="Times New Roman" w:hAnsi="Times New Roman" w:cs="Times New Roman"/>
          <w:color w:val="000000" w:themeColor="text1"/>
          <w:sz w:val="28"/>
          <w:szCs w:val="28"/>
          <w:lang w:val="uk-UA" w:eastAsia="ru-RU"/>
        </w:rPr>
        <w:t xml:space="preserve"> тощо), якщо це не вимагає фінансових витрат від навчального закладу, вчителя або учня та відбувається в рамках чинних Державних санітарних правил та норм «Влаштування і обладнання кабінетів комп'ютерної техніки в навчальних закладах та режим праці учнів на персональних комп'ютерах».</w:t>
      </w:r>
    </w:p>
    <w:p w:rsidR="00AC0AE2" w:rsidRPr="00AC0AE2" w:rsidRDefault="00AC0AE2" w:rsidP="00AC0AE2">
      <w:pPr>
        <w:shd w:val="clear" w:color="auto" w:fill="FFFFFF"/>
        <w:spacing w:before="150" w:after="150" w:line="312" w:lineRule="atLeast"/>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Інформуємо, що відповідно до листа Міністерства освіти і науки України від 21.05.2015 № 1/11-7136 з грифом «Рекомендовано Міністерством освіти і науки України» схвалено навчальну програму з інформатики для учнів 10-11 класів інформаційно-технологічного профілю загальноосвітніх навчальних закладів (авт. С. </w:t>
      </w:r>
      <w:proofErr w:type="spellStart"/>
      <w:r w:rsidRPr="00AC0AE2">
        <w:rPr>
          <w:rFonts w:ascii="Times New Roman" w:eastAsia="Times New Roman" w:hAnsi="Times New Roman" w:cs="Times New Roman"/>
          <w:color w:val="000000" w:themeColor="text1"/>
          <w:sz w:val="28"/>
          <w:szCs w:val="28"/>
          <w:lang w:val="uk-UA" w:eastAsia="ru-RU"/>
        </w:rPr>
        <w:t>Іщеряков</w:t>
      </w:r>
      <w:proofErr w:type="spellEnd"/>
      <w:r w:rsidRPr="00AC0AE2">
        <w:rPr>
          <w:rFonts w:ascii="Times New Roman" w:eastAsia="Times New Roman" w:hAnsi="Times New Roman" w:cs="Times New Roman"/>
          <w:color w:val="000000" w:themeColor="text1"/>
          <w:sz w:val="28"/>
          <w:szCs w:val="28"/>
          <w:lang w:val="uk-UA" w:eastAsia="ru-RU"/>
        </w:rPr>
        <w:t>).</w:t>
      </w:r>
    </w:p>
    <w:p w:rsidR="00AC0AE2" w:rsidRPr="00AC0AE2" w:rsidRDefault="00AC0AE2" w:rsidP="00AC0AE2">
      <w:pPr>
        <w:shd w:val="clear" w:color="auto" w:fill="FFFFFF"/>
        <w:spacing w:before="150" w:after="150" w:line="312" w:lineRule="atLeast"/>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У процесі проведення уроків з інформатики слід приділяти увагу патріотичному вихованню учнів, розкривати досягнення вітчизняної науки, українських вчених у</w:t>
      </w:r>
      <w:bookmarkStart w:id="0" w:name="_GoBack"/>
      <w:bookmarkEnd w:id="0"/>
      <w:r w:rsidRPr="00AC0AE2">
        <w:rPr>
          <w:rFonts w:ascii="Times New Roman" w:eastAsia="Times New Roman" w:hAnsi="Times New Roman" w:cs="Times New Roman"/>
          <w:color w:val="000000" w:themeColor="text1"/>
          <w:sz w:val="28"/>
          <w:szCs w:val="28"/>
          <w:lang w:val="uk-UA" w:eastAsia="ru-RU"/>
        </w:rPr>
        <w:t xml:space="preserve"> розробленні обчислювальної техніки і фундаментальних основ кібернетики та інформатики.</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Перед початком навчального року вчитель інформатики повинен ознайомитись та використовувати у своїй діяльності Інструктивно-методичні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в листі МОН від 17.07.2013 № 1/9-497 «Про використання Інструктивно-методичних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навчальних закладів».</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val="uk-UA" w:eastAsia="ru-RU"/>
        </w:rPr>
      </w:pPr>
      <w:r w:rsidRPr="00AC0AE2">
        <w:rPr>
          <w:rFonts w:ascii="Times New Roman" w:eastAsia="Times New Roman" w:hAnsi="Times New Roman" w:cs="Times New Roman"/>
          <w:color w:val="000000" w:themeColor="text1"/>
          <w:sz w:val="28"/>
          <w:szCs w:val="28"/>
          <w:lang w:val="uk-UA" w:eastAsia="ru-RU"/>
        </w:rPr>
        <w:t xml:space="preserve">Зазначаємо про неприпустимість зобов’язувати до використання програмного забезпечення для вивчення інформатики, що є </w:t>
      </w:r>
      <w:proofErr w:type="spellStart"/>
      <w:r w:rsidRPr="00AC0AE2">
        <w:rPr>
          <w:rFonts w:ascii="Times New Roman" w:eastAsia="Times New Roman" w:hAnsi="Times New Roman" w:cs="Times New Roman"/>
          <w:color w:val="000000" w:themeColor="text1"/>
          <w:sz w:val="28"/>
          <w:szCs w:val="28"/>
          <w:lang w:val="uk-UA" w:eastAsia="ru-RU"/>
        </w:rPr>
        <w:t>платформно</w:t>
      </w:r>
      <w:proofErr w:type="spellEnd"/>
      <w:r w:rsidRPr="00AC0AE2">
        <w:rPr>
          <w:rFonts w:ascii="Times New Roman" w:eastAsia="Times New Roman" w:hAnsi="Times New Roman" w:cs="Times New Roman"/>
          <w:color w:val="000000" w:themeColor="text1"/>
          <w:sz w:val="28"/>
          <w:szCs w:val="28"/>
          <w:lang w:val="uk-UA" w:eastAsia="ru-RU"/>
        </w:rPr>
        <w:t xml:space="preserve"> залежним або платним для загальноосвітнього навчального закладу, вчителя чи учня. Вчитель має право вибору конкретних програмних засобів. По можливості слід заохочувати використання вільного програмного забезпечення, зокрема офісного пакету ”ООо4kids”, що містить необхідний мінімум засобів для роботи в школі, а також доступний учням україномовний інтерфейс, офісного пакету </w:t>
      </w:r>
      <w:proofErr w:type="spellStart"/>
      <w:r w:rsidRPr="00AC0AE2">
        <w:rPr>
          <w:rFonts w:ascii="Times New Roman" w:eastAsia="Times New Roman" w:hAnsi="Times New Roman" w:cs="Times New Roman"/>
          <w:color w:val="000000" w:themeColor="text1"/>
          <w:sz w:val="28"/>
          <w:szCs w:val="28"/>
          <w:lang w:val="uk-UA" w:eastAsia="ru-RU"/>
        </w:rPr>
        <w:t>LibreOffice</w:t>
      </w:r>
      <w:proofErr w:type="spellEnd"/>
      <w:r w:rsidRPr="00AC0AE2">
        <w:rPr>
          <w:rFonts w:ascii="Times New Roman" w:eastAsia="Times New Roman" w:hAnsi="Times New Roman" w:cs="Times New Roman"/>
          <w:color w:val="000000" w:themeColor="text1"/>
          <w:sz w:val="28"/>
          <w:szCs w:val="28"/>
          <w:lang w:val="uk-UA" w:eastAsia="ru-RU"/>
        </w:rPr>
        <w:t xml:space="preserve"> та ін.</w:t>
      </w:r>
    </w:p>
    <w:p w:rsidR="00AC0AE2" w:rsidRPr="00AC0AE2" w:rsidRDefault="00AC0AE2" w:rsidP="00AC0AE2">
      <w:pPr>
        <w:shd w:val="clear" w:color="auto" w:fill="FFFFFF"/>
        <w:spacing w:before="150" w:after="150" w:line="312" w:lineRule="atLeast"/>
        <w:ind w:firstLine="720"/>
        <w:jc w:val="both"/>
        <w:rPr>
          <w:rFonts w:ascii="Times New Roman" w:eastAsia="Times New Roman" w:hAnsi="Times New Roman" w:cs="Times New Roman"/>
          <w:color w:val="000000" w:themeColor="text1"/>
          <w:sz w:val="20"/>
          <w:szCs w:val="20"/>
          <w:lang w:eastAsia="ru-RU"/>
        </w:rPr>
      </w:pPr>
      <w:r w:rsidRPr="00AC0AE2">
        <w:rPr>
          <w:rFonts w:ascii="Times New Roman" w:eastAsia="Times New Roman" w:hAnsi="Times New Roman" w:cs="Times New Roman"/>
          <w:color w:val="000000" w:themeColor="text1"/>
          <w:sz w:val="28"/>
          <w:szCs w:val="28"/>
          <w:lang w:val="uk-UA" w:eastAsia="ru-RU"/>
        </w:rPr>
        <w:t>Під час підготовки вчителів до уроків радимо використовувати періодичні фахові видання: «Комп’ютер в школі та сім’ї», «Інформатика  та інформаційні технології в навчальних закладах», «Інформатика в школі».</w:t>
      </w:r>
    </w:p>
    <w:p w:rsidR="001F608B" w:rsidRPr="00AC0AE2" w:rsidRDefault="001F608B" w:rsidP="00AC0AE2">
      <w:pPr>
        <w:jc w:val="both"/>
        <w:rPr>
          <w:rFonts w:ascii="Times New Roman" w:hAnsi="Times New Roman" w:cs="Times New Roman"/>
          <w:color w:val="000000" w:themeColor="text1"/>
        </w:rPr>
      </w:pPr>
    </w:p>
    <w:sectPr w:rsidR="001F608B" w:rsidRPr="00AC0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6E"/>
    <w:rsid w:val="001F608B"/>
    <w:rsid w:val="00424C6E"/>
    <w:rsid w:val="00AC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0AE2"/>
  </w:style>
  <w:style w:type="character" w:styleId="a3">
    <w:name w:val="Strong"/>
    <w:basedOn w:val="a0"/>
    <w:uiPriority w:val="22"/>
    <w:qFormat/>
    <w:rsid w:val="00AC0AE2"/>
    <w:rPr>
      <w:b/>
      <w:bCs/>
    </w:rPr>
  </w:style>
  <w:style w:type="character" w:styleId="a4">
    <w:name w:val="Hyperlink"/>
    <w:basedOn w:val="a0"/>
    <w:uiPriority w:val="99"/>
    <w:semiHidden/>
    <w:unhideWhenUsed/>
    <w:rsid w:val="00AC0AE2"/>
    <w:rPr>
      <w:color w:val="0000FF"/>
      <w:u w:val="single"/>
    </w:rPr>
  </w:style>
  <w:style w:type="character" w:styleId="a5">
    <w:name w:val="Emphasis"/>
    <w:basedOn w:val="a0"/>
    <w:uiPriority w:val="20"/>
    <w:qFormat/>
    <w:rsid w:val="00AC0A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0AE2"/>
  </w:style>
  <w:style w:type="character" w:styleId="a3">
    <w:name w:val="Strong"/>
    <w:basedOn w:val="a0"/>
    <w:uiPriority w:val="22"/>
    <w:qFormat/>
    <w:rsid w:val="00AC0AE2"/>
    <w:rPr>
      <w:b/>
      <w:bCs/>
    </w:rPr>
  </w:style>
  <w:style w:type="character" w:styleId="a4">
    <w:name w:val="Hyperlink"/>
    <w:basedOn w:val="a0"/>
    <w:uiPriority w:val="99"/>
    <w:semiHidden/>
    <w:unhideWhenUsed/>
    <w:rsid w:val="00AC0AE2"/>
    <w:rPr>
      <w:color w:val="0000FF"/>
      <w:u w:val="single"/>
    </w:rPr>
  </w:style>
  <w:style w:type="character" w:styleId="a5">
    <w:name w:val="Emphasis"/>
    <w:basedOn w:val="a0"/>
    <w:uiPriority w:val="20"/>
    <w:qFormat/>
    <w:rsid w:val="00AC0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polabinfo.16mb.com/site/%C2%A0http:/www.ii.npu.edu.ua/files/Zbirnik_KOSN/13/03.pdf" TargetMode="External"/><Relationship Id="rId13" Type="http://schemas.openxmlformats.org/officeDocument/2006/relationships/hyperlink" Target="http://www.google.com/intl/uk/goodtoknow/" TargetMode="External"/><Relationship Id="rId3" Type="http://schemas.openxmlformats.org/officeDocument/2006/relationships/settings" Target="settings.xml"/><Relationship Id="rId7" Type="http://schemas.openxmlformats.org/officeDocument/2006/relationships/hyperlink" Target="http://codecombat.com/" TargetMode="External"/><Relationship Id="rId12" Type="http://schemas.openxmlformats.org/officeDocument/2006/relationships/hyperlink" Target="http://www.google.com/intl/uk/goodtokno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udio.code.org/" TargetMode="External"/><Relationship Id="rId11" Type="http://schemas.openxmlformats.org/officeDocument/2006/relationships/hyperlink" Target="http://mail.online.ua/" TargetMode="External"/><Relationship Id="rId5" Type="http://schemas.openxmlformats.org/officeDocument/2006/relationships/hyperlink" Target="http://old.mon.gov.ua/ua/activity/education/56/692/educational_programs/1349869088/" TargetMode="External"/><Relationship Id="rId15" Type="http://schemas.openxmlformats.org/officeDocument/2006/relationships/theme" Target="theme/theme1.xml"/><Relationship Id="rId10" Type="http://schemas.openxmlformats.org/officeDocument/2006/relationships/hyperlink" Target="http://www.xn--c2a.ua/" TargetMode="External"/><Relationship Id="rId4" Type="http://schemas.openxmlformats.org/officeDocument/2006/relationships/webSettings" Target="webSettings.xml"/><Relationship Id="rId9" Type="http://schemas.openxmlformats.org/officeDocument/2006/relationships/hyperlink" Target="http://ite.kspu.edu/issue-6/p-23-31/ful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8670</Characters>
  <Application>Microsoft Office Word</Application>
  <DocSecurity>0</DocSecurity>
  <Lines>72</Lines>
  <Paragraphs>20</Paragraphs>
  <ScaleCrop>false</ScaleCrop>
  <Company>SPecialiST RePack</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2016-05-04T06:45:00Z</dcterms:created>
  <dcterms:modified xsi:type="dcterms:W3CDTF">2016-05-04T06:46:00Z</dcterms:modified>
</cp:coreProperties>
</file>