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8B4" w:rsidRPr="00B6455D" w:rsidRDefault="00B6455D" w:rsidP="00B6455D">
      <w:pPr>
        <w:ind w:left="1560" w:right="5498"/>
        <w:rPr>
          <w:lang w:val="uk-UA"/>
        </w:rPr>
      </w:pPr>
      <w:bookmarkStart w:id="0" w:name="_top"/>
      <w:bookmarkEnd w:id="0"/>
      <w:r>
        <w:rPr>
          <w:i/>
          <w:noProof/>
          <w:sz w:val="18"/>
          <w:szCs w:val="18"/>
          <w:lang w:eastAsia="ru-RU"/>
        </w:rPr>
        <w:pict>
          <v:shapetype id="_x0000_t202" coordsize="21600,21600" o:spt="202" path="m,l,21600r21600,l21600,xe">
            <v:stroke joinstyle="miter"/>
            <v:path gradientshapeok="t" o:connecttype="rect"/>
          </v:shapetype>
          <v:shape id="_x0000_s1036" type="#_x0000_t202" style="position:absolute;left:0;text-align:left;margin-left:-46.6pt;margin-top:58.15pt;width:104.55pt;height:33.4pt;z-index:251670528;mso-height-percent:200;mso-height-percent:200;mso-width-relative:margin;mso-height-relative:margin">
            <v:textbox style="mso-next-textbox:#_x0000_s1036;mso-fit-shape-to-text:t">
              <w:txbxContent>
                <w:p w:rsidR="00B6455D" w:rsidRPr="00B6455D" w:rsidRDefault="003B0D09" w:rsidP="00B6455D">
                  <w:pPr>
                    <w:rPr>
                      <w:lang w:val="uk-UA"/>
                    </w:rPr>
                  </w:pPr>
                  <w:hyperlink w:anchor="Укр" w:history="1">
                    <w:r w:rsidR="00B6455D" w:rsidRPr="003B0D09">
                      <w:rPr>
                        <w:rStyle w:val="a5"/>
                        <w:lang w:val="uk-UA"/>
                      </w:rPr>
                      <w:t>Українська</w:t>
                    </w:r>
                  </w:hyperlink>
                </w:p>
              </w:txbxContent>
            </v:textbox>
          </v:shape>
        </w:pict>
      </w:r>
      <w:r>
        <w:rPr>
          <w:i/>
          <w:noProof/>
          <w:sz w:val="18"/>
          <w:szCs w:val="18"/>
          <w:lang w:eastAsia="ru-RU"/>
        </w:rPr>
        <w:pict>
          <v:shape id="_x0000_s1035" type="#_x0000_t202" style="position:absolute;left:0;text-align:left;margin-left:-46.6pt;margin-top:24.05pt;width:104.55pt;height:33.4pt;z-index:251669504;mso-height-percent:200;mso-height-percent:200;mso-width-relative:margin;mso-height-relative:margin">
            <v:textbox style="mso-next-textbox:#_x0000_s1035;mso-fit-shape-to-text:t">
              <w:txbxContent>
                <w:p w:rsidR="00B6455D" w:rsidRPr="00B6455D" w:rsidRDefault="003B0D09" w:rsidP="00B6455D">
                  <w:hyperlink w:anchor="рус" w:history="1">
                    <w:r w:rsidR="00B6455D" w:rsidRPr="003B0D09">
                      <w:rPr>
                        <w:rStyle w:val="a5"/>
                      </w:rPr>
                      <w:t>Русский</w:t>
                    </w:r>
                  </w:hyperlink>
                </w:p>
              </w:txbxContent>
            </v:textbox>
          </v:shape>
        </w:pict>
      </w:r>
      <w:r w:rsidRPr="00B6455D">
        <w:rPr>
          <w:i/>
          <w:noProof/>
          <w:sz w:val="18"/>
          <w:szCs w:val="18"/>
          <w:lang w:val="uk-UA"/>
        </w:rPr>
        <w:pict>
          <v:shape id="_x0000_s1034" type="#_x0000_t202" style="position:absolute;left:0;text-align:left;margin-left:-47.15pt;margin-top:-10.45pt;width:104.55pt;height:33.4pt;z-index:251668480;mso-height-percent:200;mso-height-percent:200;mso-width-relative:margin;mso-height-relative:margin">
            <v:textbox style="mso-next-textbox:#_x0000_s1034;mso-fit-shape-to-text:t">
              <w:txbxContent>
                <w:p w:rsidR="00B6455D" w:rsidRDefault="003B0D09">
                  <w:hyperlink w:anchor="_top" w:history="1">
                    <w:r w:rsidR="00B6455D" w:rsidRPr="003B0D09">
                      <w:rPr>
                        <w:rStyle w:val="a5"/>
                        <w:lang w:val="en-US"/>
                      </w:rPr>
                      <w:t>English</w:t>
                    </w:r>
                  </w:hyperlink>
                </w:p>
              </w:txbxContent>
            </v:textbox>
          </v:shape>
        </w:pict>
      </w:r>
      <w:r>
        <w:rPr>
          <w:i/>
          <w:noProof/>
          <w:sz w:val="18"/>
          <w:szCs w:val="18"/>
          <w:lang w:eastAsia="ru-RU"/>
        </w:rPr>
        <w:drawing>
          <wp:anchor distT="0" distB="0" distL="114300" distR="114300" simplePos="0" relativeHeight="251658240" behindDoc="0" locked="0" layoutInCell="1" allowOverlap="1">
            <wp:simplePos x="0" y="0"/>
            <wp:positionH relativeFrom="column">
              <wp:posOffset>5937250</wp:posOffset>
            </wp:positionH>
            <wp:positionV relativeFrom="paragraph">
              <wp:posOffset>-213360</wp:posOffset>
            </wp:positionV>
            <wp:extent cx="3887470" cy="3218180"/>
            <wp:effectExtent l="19050" t="0" r="0" b="0"/>
            <wp:wrapThrough wrapText="bothSides">
              <wp:wrapPolygon edited="0">
                <wp:start x="-106" y="0"/>
                <wp:lineTo x="-106" y="21481"/>
                <wp:lineTo x="21593" y="21481"/>
                <wp:lineTo x="21593" y="0"/>
                <wp:lineTo x="-106" y="0"/>
              </wp:wrapPolygon>
            </wp:wrapThrough>
            <wp:docPr id="2" name="Рисунок 1" descr="300px-Kyoto_Protocol_participation_map_2009.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0px-Kyoto_Protocol_participation_map_2009.png"/>
                    <pic:cNvPicPr/>
                  </pic:nvPicPr>
                  <pic:blipFill>
                    <a:blip r:embed="rId6" cstate="print"/>
                    <a:stretch>
                      <a:fillRect/>
                    </a:stretch>
                  </pic:blipFill>
                  <pic:spPr>
                    <a:xfrm>
                      <a:off x="0" y="0"/>
                      <a:ext cx="3887470" cy="3218180"/>
                    </a:xfrm>
                    <a:prstGeom prst="rect">
                      <a:avLst/>
                    </a:prstGeom>
                  </pic:spPr>
                </pic:pic>
              </a:graphicData>
            </a:graphic>
          </wp:anchor>
        </w:drawing>
      </w:r>
      <w:r>
        <w:rPr>
          <w:i/>
          <w:noProof/>
          <w:sz w:val="18"/>
          <w:szCs w:val="18"/>
          <w:lang w:eastAsia="ru-RU"/>
        </w:rPr>
        <w:pict>
          <v:rect id="_x0000_s1031" style="position:absolute;left:0;text-align:left;margin-left:-54.85pt;margin-top:-85.05pt;width:119.7pt;height:594.7pt;z-index:251664384;mso-position-horizontal-relative:text;mso-position-vertical-relative:text" fillcolor="white [3201]" strokecolor="#666 [1936]" strokeweight="1pt">
            <v:fill color2="#999 [1296]" focusposition="1" focussize="" focus="100%" type="gradient"/>
            <v:shadow on="t" type="perspective" color="#7f7f7f [1601]" opacity=".5" offset="1pt" offset2="-3pt"/>
          </v:rect>
        </w:pict>
      </w:r>
      <w:r w:rsidRPr="00B6455D">
        <w:rPr>
          <w:i/>
          <w:noProof/>
          <w:sz w:val="18"/>
          <w:szCs w:val="18"/>
          <w:lang w:val="uk-UA"/>
        </w:rPr>
        <w:pict>
          <v:shape id="_x0000_s1030" type="#_x0000_t202" style="position:absolute;left:0;text-align:left;margin-left:457.75pt;margin-top:-80.05pt;width:289.7pt;height:95.15pt;z-index:251663360;mso-width-percent:400;mso-height-percent:200;mso-position-horizontal-relative:text;mso-position-vertical-relative:text;mso-width-percent:400;mso-height-percent:200;mso-width-relative:margin;mso-height-relative:margin">
            <v:textbox style="mso-fit-shape-to-text:t">
              <w:txbxContent>
                <w:p w:rsidR="00B6455D" w:rsidRPr="00B6455D" w:rsidRDefault="00B6455D">
                  <w:pPr>
                    <w:rPr>
                      <w:sz w:val="44"/>
                      <w:szCs w:val="44"/>
                    </w:rPr>
                  </w:pPr>
                  <w:hyperlink w:anchor="Contens" w:history="1">
                    <w:r w:rsidRPr="00B6455D">
                      <w:rPr>
                        <w:rStyle w:val="a5"/>
                        <w:i/>
                        <w:sz w:val="44"/>
                        <w:szCs w:val="44"/>
                        <w:lang w:val="uk-UA"/>
                      </w:rPr>
                      <w:t>The Kyoto Protocol</w:t>
                    </w:r>
                  </w:hyperlink>
                  <w:r w:rsidRPr="00B6455D">
                    <w:rPr>
                      <w:i/>
                      <w:sz w:val="44"/>
                      <w:szCs w:val="44"/>
                      <w:lang w:val="uk-UA"/>
                    </w:rPr>
                    <w:t xml:space="preserve"> </w:t>
                  </w:r>
                </w:p>
              </w:txbxContent>
            </v:textbox>
          </v:shape>
        </w:pict>
      </w:r>
      <w:r w:rsidR="00515F32" w:rsidRPr="00515F32">
        <w:rPr>
          <w:noProof/>
          <w:lang w:val="uk-UA"/>
        </w:rPr>
        <w:pict>
          <v:shape id="_x0000_s1027" type="#_x0000_t202" style="position:absolute;left:0;text-align:left;margin-left:883.3pt;margin-top:-2.45pt;width:238.6pt;height:17.55pt;z-index:251661312;mso-position-horizontal-relative:text;mso-position-vertical-relative:text">
            <v:textbox>
              <w:txbxContent>
                <w:p w:rsidR="007178B4" w:rsidRDefault="007178B4">
                  <w:r w:rsidRPr="007178B4">
                    <w:rPr>
                      <w:i/>
                      <w:sz w:val="18"/>
                      <w:szCs w:val="18"/>
                      <w:lang w:val="uk-UA"/>
                    </w:rPr>
                    <w:t>The Kyoto Protocol</w:t>
                  </w:r>
                </w:p>
              </w:txbxContent>
            </v:textbox>
          </v:shape>
        </w:pict>
      </w:r>
      <w:r>
        <w:rPr>
          <w:i/>
          <w:sz w:val="18"/>
          <w:szCs w:val="18"/>
          <w:lang w:val="uk-UA"/>
        </w:rPr>
        <w:t xml:space="preserve">                                                    </w:t>
      </w:r>
      <w:r w:rsidR="007178B4" w:rsidRPr="007178B4">
        <w:rPr>
          <w:i/>
          <w:sz w:val="18"/>
          <w:szCs w:val="18"/>
          <w:lang w:val="uk-UA"/>
        </w:rPr>
        <w:t xml:space="preserve">The Kyoto Protocol is an international treaty, which extends the 1992 United Nations Framework </w:t>
      </w:r>
      <w:r>
        <w:rPr>
          <w:i/>
          <w:sz w:val="18"/>
          <w:szCs w:val="18"/>
          <w:lang w:val="uk-UA"/>
        </w:rPr>
        <w:t xml:space="preserve">                                   </w:t>
      </w:r>
      <w:r w:rsidR="007178B4" w:rsidRPr="007178B4">
        <w:rPr>
          <w:i/>
          <w:sz w:val="18"/>
          <w:szCs w:val="18"/>
          <w:lang w:val="uk-UA"/>
        </w:rPr>
        <w:t xml:space="preserve">Convention on Climate Change (UNFCCC) that commits State </w:t>
      </w:r>
      <w:r w:rsidR="007178B4" w:rsidRPr="007178B4">
        <w:rPr>
          <w:sz w:val="18"/>
          <w:szCs w:val="18"/>
          <w:lang w:val="uk-UA"/>
        </w:rPr>
        <w:t>Parties</w:t>
      </w:r>
      <w:r w:rsidR="007178B4" w:rsidRPr="007178B4">
        <w:rPr>
          <w:i/>
          <w:sz w:val="18"/>
          <w:szCs w:val="18"/>
          <w:lang w:val="uk-UA"/>
        </w:rPr>
        <w:t xml:space="preserve"> to reduce greenhouse gases emissions, based on the premise that (a) global warming exists and (b) man-made CO2 emissions have caused it. The Kyoto Protocol was adopted in Kyoto, Japan, on 11 December 1997 and entered into force on 16 February 2005. There are currently 192 Parties (Canada withdrew effective December 2012)[4] to the Protocol.</w:t>
      </w:r>
    </w:p>
    <w:p w:rsidR="007178B4" w:rsidRPr="007178B4" w:rsidRDefault="007178B4" w:rsidP="00B6455D">
      <w:pPr>
        <w:spacing w:after="0" w:line="240" w:lineRule="auto"/>
        <w:ind w:left="1560" w:right="5498"/>
        <w:rPr>
          <w:i/>
          <w:sz w:val="18"/>
          <w:szCs w:val="18"/>
          <w:lang w:val="uk-UA"/>
        </w:rPr>
      </w:pPr>
    </w:p>
    <w:p w:rsidR="007178B4" w:rsidRPr="007178B4" w:rsidRDefault="007178B4" w:rsidP="00B6455D">
      <w:pPr>
        <w:spacing w:after="0" w:line="240" w:lineRule="auto"/>
        <w:ind w:left="1560" w:right="5498"/>
        <w:rPr>
          <w:i/>
          <w:sz w:val="18"/>
          <w:szCs w:val="18"/>
          <w:lang w:val="uk-UA"/>
        </w:rPr>
      </w:pPr>
      <w:r w:rsidRPr="007178B4">
        <w:rPr>
          <w:i/>
          <w:sz w:val="18"/>
          <w:szCs w:val="18"/>
          <w:lang w:val="uk-UA"/>
        </w:rPr>
        <w:t>The Kyoto Protocol implemented the objective of the UNFCCC to fight global warming by reducing greenhouse gas concentrations in the atmosphere to "a level that would prevent dangerous anthropogenic interference with the climate system" (Art. 2). The Protocol is based on the principle of common but differentiated responsibilities: it puts the obligation to reduce current emissions on developed countries on the basis that they are historically responsible for the current levels of greenhouse gases in the atmosphere.</w:t>
      </w:r>
    </w:p>
    <w:p w:rsidR="007178B4" w:rsidRPr="007178B4" w:rsidRDefault="007178B4" w:rsidP="00B6455D">
      <w:pPr>
        <w:spacing w:after="0" w:line="240" w:lineRule="auto"/>
        <w:ind w:left="1560" w:right="5498"/>
        <w:rPr>
          <w:i/>
          <w:sz w:val="18"/>
          <w:szCs w:val="18"/>
          <w:lang w:val="uk-UA"/>
        </w:rPr>
      </w:pPr>
    </w:p>
    <w:p w:rsidR="007178B4" w:rsidRPr="007178B4" w:rsidRDefault="00B6455D" w:rsidP="00B6455D">
      <w:pPr>
        <w:spacing w:after="0" w:line="240" w:lineRule="auto"/>
        <w:ind w:left="1560" w:right="5498"/>
        <w:rPr>
          <w:i/>
          <w:sz w:val="18"/>
          <w:szCs w:val="18"/>
          <w:lang w:val="uk-UA"/>
        </w:rPr>
      </w:pPr>
      <w:r w:rsidRPr="00B6455D">
        <w:rPr>
          <w:i/>
          <w:noProof/>
          <w:sz w:val="18"/>
          <w:szCs w:val="18"/>
          <w:lang w:val="en-US"/>
        </w:rPr>
        <w:pict>
          <v:shape id="_x0000_s1032" type="#_x0000_t202" style="position:absolute;left:0;text-align:left;margin-left:480.35pt;margin-top:80.4pt;width:289.4pt;height:90.2pt;z-index:251666432;mso-width-percent:400;mso-width-percent:400;mso-width-relative:margin;mso-height-relative:margin">
            <v:textbox>
              <w:txbxContent>
                <w:p w:rsidR="00B6455D" w:rsidRPr="004339F3" w:rsidRDefault="00B6455D" w:rsidP="00B6455D">
                  <w:pPr>
                    <w:spacing w:after="0" w:line="240" w:lineRule="auto"/>
                    <w:rPr>
                      <w:b/>
                      <w:i/>
                      <w:sz w:val="18"/>
                      <w:szCs w:val="18"/>
                      <w:lang w:val="uk-UA"/>
                    </w:rPr>
                  </w:pPr>
                  <w:r w:rsidRPr="004339F3">
                    <w:rPr>
                      <w:b/>
                      <w:i/>
                      <w:sz w:val="18"/>
                      <w:szCs w:val="18"/>
                      <w:lang w:val="uk-UA"/>
                    </w:rPr>
                    <w:t>Signed</w:t>
                  </w:r>
                  <w:r w:rsidRPr="004339F3">
                    <w:rPr>
                      <w:b/>
                      <w:i/>
                      <w:sz w:val="18"/>
                      <w:szCs w:val="18"/>
                      <w:lang w:val="uk-UA"/>
                    </w:rPr>
                    <w:tab/>
                    <w:t>11 December 1997</w:t>
                  </w:r>
                </w:p>
                <w:p w:rsidR="00B6455D" w:rsidRPr="004339F3" w:rsidRDefault="00B6455D" w:rsidP="00B6455D">
                  <w:pPr>
                    <w:spacing w:after="0" w:line="240" w:lineRule="auto"/>
                    <w:rPr>
                      <w:b/>
                      <w:i/>
                      <w:sz w:val="18"/>
                      <w:szCs w:val="18"/>
                      <w:lang w:val="uk-UA"/>
                    </w:rPr>
                  </w:pPr>
                  <w:r w:rsidRPr="004339F3">
                    <w:rPr>
                      <w:b/>
                      <w:i/>
                      <w:sz w:val="18"/>
                      <w:szCs w:val="18"/>
                      <w:lang w:val="uk-UA"/>
                    </w:rPr>
                    <w:t xml:space="preserve">                                                                                                                   </w:t>
                  </w:r>
                  <w:r>
                    <w:rPr>
                      <w:b/>
                      <w:i/>
                      <w:sz w:val="18"/>
                      <w:szCs w:val="18"/>
                      <w:lang w:val="en-US"/>
                    </w:rPr>
                    <w:t xml:space="preserve">                                                                                                                                                                                       </w:t>
                  </w:r>
                  <w:r>
                    <w:rPr>
                      <w:b/>
                      <w:i/>
                      <w:sz w:val="18"/>
                      <w:szCs w:val="18"/>
                      <w:lang w:val="uk-UA"/>
                    </w:rPr>
                    <w:t xml:space="preserve"> </w:t>
                  </w:r>
                  <w:r w:rsidRPr="004339F3">
                    <w:rPr>
                      <w:b/>
                      <w:i/>
                      <w:sz w:val="18"/>
                      <w:szCs w:val="18"/>
                      <w:lang w:val="uk-UA"/>
                    </w:rPr>
                    <w:t>Location</w:t>
                  </w:r>
                  <w:r w:rsidRPr="004339F3">
                    <w:rPr>
                      <w:b/>
                      <w:i/>
                      <w:sz w:val="18"/>
                      <w:szCs w:val="18"/>
                      <w:lang w:val="uk-UA"/>
                    </w:rPr>
                    <w:tab/>
                    <w:t>Kyoto, Japan</w:t>
                  </w:r>
                </w:p>
                <w:p w:rsidR="00B6455D" w:rsidRPr="004339F3" w:rsidRDefault="00B6455D" w:rsidP="00B6455D">
                  <w:pPr>
                    <w:spacing w:after="0" w:line="240" w:lineRule="auto"/>
                    <w:rPr>
                      <w:b/>
                      <w:i/>
                      <w:sz w:val="18"/>
                      <w:szCs w:val="18"/>
                      <w:lang w:val="uk-UA"/>
                    </w:rPr>
                  </w:pPr>
                  <w:r w:rsidRPr="004339F3">
                    <w:rPr>
                      <w:b/>
                      <w:i/>
                      <w:sz w:val="18"/>
                      <w:szCs w:val="18"/>
                      <w:lang w:val="uk-UA"/>
                    </w:rPr>
                    <w:t xml:space="preserve">                                                                                                                    </w:t>
                  </w:r>
                  <w:r>
                    <w:rPr>
                      <w:b/>
                      <w:i/>
                      <w:sz w:val="18"/>
                      <w:szCs w:val="18"/>
                      <w:lang w:val="en-US"/>
                    </w:rPr>
                    <w:t xml:space="preserve">                                                                                                                                                                                       </w:t>
                  </w:r>
                  <w:r w:rsidRPr="004339F3">
                    <w:rPr>
                      <w:b/>
                      <w:i/>
                      <w:sz w:val="18"/>
                      <w:szCs w:val="18"/>
                      <w:lang w:val="uk-UA"/>
                    </w:rPr>
                    <w:t xml:space="preserve"> Effective</w:t>
                  </w:r>
                  <w:r w:rsidRPr="004339F3">
                    <w:rPr>
                      <w:b/>
                      <w:i/>
                      <w:sz w:val="18"/>
                      <w:szCs w:val="18"/>
                      <w:lang w:val="uk-UA"/>
                    </w:rPr>
                    <w:tab/>
                    <w:t>16 February 2005</w:t>
                  </w:r>
                </w:p>
                <w:p w:rsidR="00B6455D" w:rsidRPr="004339F3" w:rsidRDefault="00B6455D" w:rsidP="00B6455D">
                  <w:pPr>
                    <w:spacing w:after="0" w:line="240" w:lineRule="auto"/>
                    <w:ind w:right="-568"/>
                    <w:rPr>
                      <w:b/>
                      <w:i/>
                      <w:sz w:val="18"/>
                      <w:szCs w:val="18"/>
                      <w:lang w:val="uk-UA"/>
                    </w:rPr>
                  </w:pPr>
                  <w:r w:rsidRPr="004339F3">
                    <w:rPr>
                      <w:b/>
                      <w:i/>
                      <w:sz w:val="18"/>
                      <w:szCs w:val="18"/>
                      <w:lang w:val="uk-UA"/>
                    </w:rPr>
                    <w:t xml:space="preserve">                                                                                                                   </w:t>
                  </w:r>
                  <w:r>
                    <w:rPr>
                      <w:b/>
                      <w:i/>
                      <w:sz w:val="18"/>
                      <w:szCs w:val="18"/>
                      <w:lang w:val="en-US"/>
                    </w:rPr>
                    <w:t xml:space="preserve">                                                                                                                                                                     </w:t>
                  </w:r>
                  <w:r w:rsidRPr="004339F3">
                    <w:rPr>
                      <w:b/>
                      <w:i/>
                      <w:sz w:val="18"/>
                      <w:szCs w:val="18"/>
                      <w:lang w:val="uk-UA"/>
                    </w:rPr>
                    <w:t xml:space="preserve">  Condition Ratification by at least 55 States to the Convention</w:t>
                  </w:r>
                </w:p>
                <w:p w:rsidR="00B6455D" w:rsidRPr="004339F3" w:rsidRDefault="00B6455D" w:rsidP="00B6455D">
                  <w:pPr>
                    <w:spacing w:after="0"/>
                    <w:ind w:left="-1418"/>
                    <w:rPr>
                      <w:lang w:val="uk-UA"/>
                    </w:rPr>
                  </w:pPr>
                </w:p>
                <w:p w:rsidR="00B6455D" w:rsidRPr="00B6455D" w:rsidRDefault="00B6455D" w:rsidP="00B6455D">
                  <w:pPr>
                    <w:rPr>
                      <w:lang w:val="en-US"/>
                    </w:rPr>
                  </w:pPr>
                </w:p>
              </w:txbxContent>
            </v:textbox>
          </v:shape>
        </w:pict>
      </w:r>
      <w:r w:rsidR="007178B4" w:rsidRPr="007178B4">
        <w:rPr>
          <w:i/>
          <w:sz w:val="18"/>
          <w:szCs w:val="18"/>
          <w:lang w:val="uk-UA"/>
        </w:rPr>
        <w:t>The Protocol’s first commitment period started in 2008 and ended in 2012. A second commitment period was agreed on in 2012, known as the Doha Amendment to the protocol, in which 37 countries have binding targets: Australia, the European Union (and its 28 member states), Belarus, Iceland, Kazakhstan, Liechtenstein, Norway, Switzerland, and Ukraine. Belarus, Kazakhstan and Ukraine have stated that they may withdraw from the Protocol or not put into legal force the Amendment with second round targets.[8] Japan, New Zealand and Russia have participated in Kyoto's first-round but have not taken on new targets in the second commitment period. Other developed countries without second-round targets are Canada (which withdrew from the Kyoto Protocol in 2012) and the United States (which has not ratified the Protocol). As of November 2015, 59 states have accepted the Doha Amendment, while entry into force requires the acceptances of 144 states. Of the 37 countries with binding commitments, 7 have ratified.</w:t>
      </w:r>
    </w:p>
    <w:p w:rsidR="007178B4" w:rsidRPr="007178B4" w:rsidRDefault="007178B4" w:rsidP="00B6455D">
      <w:pPr>
        <w:spacing w:after="0" w:line="240" w:lineRule="auto"/>
        <w:ind w:left="1560" w:right="5498"/>
        <w:rPr>
          <w:i/>
          <w:sz w:val="18"/>
          <w:szCs w:val="18"/>
          <w:lang w:val="uk-UA"/>
        </w:rPr>
      </w:pPr>
    </w:p>
    <w:p w:rsidR="007178B4" w:rsidRDefault="007178B4" w:rsidP="00B6455D">
      <w:pPr>
        <w:spacing w:after="0" w:line="240" w:lineRule="auto"/>
        <w:ind w:left="1560" w:right="5498"/>
        <w:rPr>
          <w:i/>
          <w:sz w:val="18"/>
          <w:szCs w:val="18"/>
          <w:lang w:val="en-US"/>
        </w:rPr>
      </w:pPr>
      <w:r w:rsidRPr="007178B4">
        <w:rPr>
          <w:i/>
          <w:sz w:val="18"/>
          <w:szCs w:val="18"/>
          <w:lang w:val="uk-UA"/>
        </w:rPr>
        <w:t>Negotiations were held in the framework of the yearly UNFCCC Climate Change Conferences on measures to be taken after the second commitment period ends in 2020. This resulted in 2015 to the adoption of the Paris Agreement, which is a separate instrument under the UNFCCC rather than an amendment of the Kyoto protocol.</w:t>
      </w:r>
      <w:r w:rsidR="004339F3" w:rsidRPr="004339F3">
        <w:rPr>
          <w:i/>
          <w:sz w:val="18"/>
          <w:szCs w:val="18"/>
          <w:lang w:val="uk-UA"/>
        </w:rPr>
        <w:t xml:space="preserve">                                                                                                                  </w:t>
      </w:r>
    </w:p>
    <w:p w:rsidR="007178B4" w:rsidRDefault="007178B4" w:rsidP="00B6455D">
      <w:pPr>
        <w:spacing w:after="0" w:line="240" w:lineRule="auto"/>
        <w:ind w:left="1560"/>
        <w:rPr>
          <w:i/>
          <w:sz w:val="18"/>
          <w:szCs w:val="18"/>
          <w:lang w:val="en-US"/>
        </w:rPr>
      </w:pPr>
    </w:p>
    <w:p w:rsidR="007178B4" w:rsidRDefault="007178B4" w:rsidP="004339F3">
      <w:pPr>
        <w:spacing w:after="0" w:line="240" w:lineRule="auto"/>
        <w:ind w:left="3969"/>
        <w:rPr>
          <w:i/>
          <w:sz w:val="18"/>
          <w:szCs w:val="18"/>
          <w:lang w:val="en-US"/>
        </w:rPr>
      </w:pPr>
    </w:p>
    <w:p w:rsidR="007178B4" w:rsidRDefault="007178B4" w:rsidP="004339F3">
      <w:pPr>
        <w:spacing w:after="0" w:line="240" w:lineRule="auto"/>
        <w:ind w:left="3969"/>
        <w:rPr>
          <w:i/>
          <w:sz w:val="18"/>
          <w:szCs w:val="18"/>
          <w:lang w:val="en-US"/>
        </w:rPr>
      </w:pPr>
    </w:p>
    <w:p w:rsidR="007178B4" w:rsidRDefault="007178B4" w:rsidP="007178B4">
      <w:pPr>
        <w:spacing w:after="0" w:line="240" w:lineRule="auto"/>
        <w:ind w:left="3969"/>
        <w:rPr>
          <w:i/>
          <w:sz w:val="18"/>
          <w:szCs w:val="18"/>
          <w:lang w:val="en-US"/>
        </w:rPr>
      </w:pPr>
      <w:r>
        <w:rPr>
          <w:i/>
          <w:sz w:val="18"/>
          <w:szCs w:val="18"/>
          <w:lang w:val="en-US"/>
        </w:rPr>
        <w:t xml:space="preserve">                                                                                                                                                                                                                                                                                                                                                                                                   </w:t>
      </w:r>
      <w:r w:rsidRPr="004339F3">
        <w:rPr>
          <w:i/>
          <w:sz w:val="18"/>
          <w:szCs w:val="18"/>
          <w:lang w:val="uk-UA"/>
        </w:rPr>
        <w:t xml:space="preserve">  </w:t>
      </w:r>
      <w:r>
        <w:rPr>
          <w:i/>
          <w:sz w:val="18"/>
          <w:szCs w:val="18"/>
          <w:lang w:val="en-US"/>
        </w:rPr>
        <w:t xml:space="preserve">                                                                                                                                                                                          </w:t>
      </w:r>
      <w:r w:rsidRPr="004339F3">
        <w:rPr>
          <w:i/>
          <w:sz w:val="18"/>
          <w:szCs w:val="18"/>
          <w:lang w:val="uk-UA"/>
        </w:rPr>
        <w:t xml:space="preserve"> </w:t>
      </w:r>
      <w:r>
        <w:rPr>
          <w:i/>
          <w:sz w:val="18"/>
          <w:szCs w:val="18"/>
          <w:lang w:val="en-US"/>
        </w:rPr>
        <w:t xml:space="preserve">                   </w:t>
      </w:r>
    </w:p>
    <w:p w:rsidR="007178B4" w:rsidRDefault="007178B4" w:rsidP="007178B4">
      <w:pPr>
        <w:spacing w:after="0" w:line="240" w:lineRule="auto"/>
        <w:ind w:left="3969"/>
        <w:rPr>
          <w:i/>
          <w:sz w:val="18"/>
          <w:szCs w:val="18"/>
          <w:lang w:val="en-US"/>
        </w:rPr>
      </w:pPr>
    </w:p>
    <w:p w:rsidR="007178B4" w:rsidRDefault="007178B4" w:rsidP="004339F3">
      <w:pPr>
        <w:spacing w:after="0" w:line="240" w:lineRule="auto"/>
        <w:ind w:left="3969"/>
        <w:rPr>
          <w:i/>
          <w:sz w:val="18"/>
          <w:szCs w:val="18"/>
          <w:lang w:val="en-US"/>
        </w:rPr>
      </w:pPr>
      <w:r>
        <w:rPr>
          <w:i/>
          <w:sz w:val="18"/>
          <w:szCs w:val="18"/>
          <w:lang w:val="en-US"/>
        </w:rPr>
        <w:t xml:space="preserve">                                                                                                                                                                                                                                                                                                   </w:t>
      </w:r>
    </w:p>
    <w:p w:rsidR="007178B4" w:rsidRPr="007178B4" w:rsidRDefault="007178B4" w:rsidP="004339F3">
      <w:pPr>
        <w:spacing w:after="0" w:line="240" w:lineRule="auto"/>
        <w:ind w:left="3969"/>
        <w:rPr>
          <w:i/>
          <w:sz w:val="18"/>
          <w:szCs w:val="18"/>
          <w:lang w:val="uk-UA"/>
        </w:rPr>
      </w:pPr>
      <w:r>
        <w:rPr>
          <w:i/>
          <w:sz w:val="18"/>
          <w:szCs w:val="18"/>
          <w:lang w:val="uk-UA"/>
        </w:rPr>
        <w:br/>
      </w:r>
      <w:r>
        <w:rPr>
          <w:i/>
          <w:sz w:val="18"/>
          <w:szCs w:val="18"/>
          <w:lang w:val="uk-UA"/>
        </w:rPr>
        <w:br/>
      </w:r>
    </w:p>
    <w:p w:rsidR="007178B4" w:rsidRDefault="007178B4" w:rsidP="004339F3">
      <w:pPr>
        <w:spacing w:after="0" w:line="240" w:lineRule="auto"/>
        <w:ind w:left="3969"/>
        <w:rPr>
          <w:i/>
          <w:sz w:val="18"/>
          <w:szCs w:val="18"/>
          <w:lang w:val="en-US"/>
        </w:rPr>
      </w:pPr>
    </w:p>
    <w:p w:rsidR="00B6455D" w:rsidRPr="00B6455D" w:rsidRDefault="00B6455D" w:rsidP="00B6455D">
      <w:pPr>
        <w:pStyle w:val="2"/>
        <w:rPr>
          <w:sz w:val="32"/>
          <w:szCs w:val="32"/>
          <w:lang w:val="uk-UA"/>
        </w:rPr>
      </w:pPr>
      <w:bookmarkStart w:id="1" w:name="Contens"/>
      <w:r w:rsidRPr="00B6455D">
        <w:rPr>
          <w:sz w:val="32"/>
          <w:szCs w:val="32"/>
          <w:lang w:val="uk-UA"/>
        </w:rPr>
        <w:lastRenderedPageBreak/>
        <w:t xml:space="preserve">Contents   </w:t>
      </w:r>
    </w:p>
    <w:bookmarkEnd w:id="1"/>
    <w:p w:rsidR="00B6455D" w:rsidRPr="00B6455D" w:rsidRDefault="00B6455D" w:rsidP="00B6455D">
      <w:pPr>
        <w:rPr>
          <w:lang w:val="uk-UA"/>
        </w:rPr>
      </w:pPr>
      <w:r w:rsidRPr="00B6455D">
        <w:rPr>
          <w:lang w:val="uk-UA"/>
        </w:rPr>
        <w:t>1</w:t>
      </w:r>
      <w:r w:rsidRPr="00B6455D">
        <w:rPr>
          <w:lang w:val="uk-UA"/>
        </w:rPr>
        <w:tab/>
      </w:r>
      <w:hyperlink w:anchor="Back" w:history="1">
        <w:r w:rsidRPr="003B0D09">
          <w:rPr>
            <w:rStyle w:val="a5"/>
            <w:lang w:val="uk-UA"/>
          </w:rPr>
          <w:t>Background</w:t>
        </w:r>
      </w:hyperlink>
    </w:p>
    <w:p w:rsidR="007178B4" w:rsidRPr="00B6455D" w:rsidRDefault="00B6455D" w:rsidP="00B6455D">
      <w:pPr>
        <w:rPr>
          <w:lang w:val="uk-UA"/>
        </w:rPr>
      </w:pPr>
      <w:r w:rsidRPr="00B6455D">
        <w:rPr>
          <w:lang w:val="uk-UA"/>
        </w:rPr>
        <w:t>2</w:t>
      </w:r>
      <w:r w:rsidRPr="00B6455D">
        <w:rPr>
          <w:lang w:val="uk-UA"/>
        </w:rPr>
        <w:tab/>
      </w:r>
      <w:hyperlink w:anchor="obj" w:history="1">
        <w:r w:rsidRPr="003B0D09">
          <w:rPr>
            <w:rStyle w:val="a5"/>
            <w:lang w:val="uk-UA"/>
          </w:rPr>
          <w:t>Objectives</w:t>
        </w:r>
      </w:hyperlink>
    </w:p>
    <w:p w:rsidR="007178B4" w:rsidRPr="00B6455D" w:rsidRDefault="007178B4" w:rsidP="00B6455D">
      <w:pPr>
        <w:rPr>
          <w:sz w:val="28"/>
          <w:szCs w:val="28"/>
          <w:lang w:val="en-US"/>
        </w:rPr>
      </w:pPr>
    </w:p>
    <w:p w:rsidR="00B6455D" w:rsidRPr="00B6455D" w:rsidRDefault="00B6455D" w:rsidP="00B6455D">
      <w:pPr>
        <w:rPr>
          <w:i/>
          <w:sz w:val="28"/>
          <w:szCs w:val="28"/>
          <w:lang w:val="en-US"/>
        </w:rPr>
      </w:pPr>
      <w:bookmarkStart w:id="2" w:name="Back"/>
      <w:r w:rsidRPr="00B6455D">
        <w:rPr>
          <w:i/>
          <w:sz w:val="28"/>
          <w:szCs w:val="28"/>
          <w:lang w:val="en-US"/>
        </w:rPr>
        <w:t>Background</w:t>
      </w:r>
    </w:p>
    <w:bookmarkEnd w:id="2"/>
    <w:p w:rsidR="00B6455D" w:rsidRPr="00B6455D" w:rsidRDefault="00B6455D" w:rsidP="00B6455D">
      <w:pPr>
        <w:rPr>
          <w:i/>
          <w:sz w:val="28"/>
          <w:szCs w:val="28"/>
          <w:lang w:val="en-US"/>
        </w:rPr>
      </w:pPr>
    </w:p>
    <w:p w:rsidR="00B6455D" w:rsidRPr="00B6455D" w:rsidRDefault="00B6455D" w:rsidP="00B6455D">
      <w:pPr>
        <w:rPr>
          <w:i/>
          <w:sz w:val="28"/>
          <w:szCs w:val="28"/>
          <w:lang w:val="en-US"/>
        </w:rPr>
      </w:pPr>
      <w:r w:rsidRPr="00B6455D">
        <w:rPr>
          <w:i/>
          <w:sz w:val="28"/>
          <w:szCs w:val="28"/>
          <w:lang w:val="en-US"/>
        </w:rPr>
        <w:t>The view that human activities are likely responsible for most of the observed increase in global mean temperature ("global warming") since the mid-20th century is an accurate reflection of current scientific thinking. Human-induced warming of the climate is expected to continue throughout the 21st century and beyond.</w:t>
      </w:r>
    </w:p>
    <w:p w:rsidR="00B6455D" w:rsidRPr="00B6455D" w:rsidRDefault="00B6455D" w:rsidP="00B6455D">
      <w:pPr>
        <w:rPr>
          <w:i/>
          <w:sz w:val="28"/>
          <w:szCs w:val="28"/>
          <w:lang w:val="en-US"/>
        </w:rPr>
      </w:pPr>
      <w:r w:rsidRPr="00B6455D">
        <w:rPr>
          <w:i/>
          <w:sz w:val="28"/>
          <w:szCs w:val="28"/>
          <w:lang w:val="en-US"/>
        </w:rPr>
        <w:t xml:space="preserve">The Intergovernmental Panel on Climate Change (IPCC, 2007) </w:t>
      </w:r>
      <w:proofErr w:type="gramStart"/>
      <w:r w:rsidRPr="00B6455D">
        <w:rPr>
          <w:i/>
          <w:sz w:val="28"/>
          <w:szCs w:val="28"/>
          <w:lang w:val="en-US"/>
        </w:rPr>
        <w:t>have</w:t>
      </w:r>
      <w:proofErr w:type="gramEnd"/>
      <w:r w:rsidRPr="00B6455D">
        <w:rPr>
          <w:i/>
          <w:sz w:val="28"/>
          <w:szCs w:val="28"/>
          <w:lang w:val="en-US"/>
        </w:rPr>
        <w:t xml:space="preserve"> produced a range of projections of what the future increase in global mean temperature might be. The IPCC's projections are "baseline" projections, meaning that they assume no future efforts are made to reduce greenhouse gas emissions. The IPCC projections cover the time period from the beginning of the 21st century to the end of the 21st century. The "likely" range (as assessed to have a greater than 66% probability of being correct, based on the IPCC's expert judgement) is a projected increased in global mean temperature over the 21st century of between 1.1 and 6.4 °C.</w:t>
      </w:r>
    </w:p>
    <w:p w:rsidR="00B6455D" w:rsidRPr="00B6455D" w:rsidRDefault="00B6455D" w:rsidP="00B6455D">
      <w:pPr>
        <w:rPr>
          <w:i/>
          <w:sz w:val="28"/>
          <w:szCs w:val="28"/>
          <w:lang w:val="en-US"/>
        </w:rPr>
      </w:pPr>
      <w:r w:rsidRPr="00B6455D">
        <w:rPr>
          <w:i/>
          <w:sz w:val="28"/>
          <w:szCs w:val="28"/>
          <w:lang w:val="en-US"/>
        </w:rPr>
        <w:t xml:space="preserve">The range in temperature projections partly reflects different projections of future greenhouse gas emissions. Different projections contain different assumptions of future social and economic development (e.g., economic growth, population level, energy policies), which in turn affects projections of future greenhouse gas (GHG) </w:t>
      </w:r>
      <w:proofErr w:type="gramStart"/>
      <w:r w:rsidRPr="00B6455D">
        <w:rPr>
          <w:i/>
          <w:sz w:val="28"/>
          <w:szCs w:val="28"/>
          <w:lang w:val="en-US"/>
        </w:rPr>
        <w:t>emissions.:22</w:t>
      </w:r>
      <w:proofErr w:type="gramEnd"/>
      <w:r w:rsidRPr="00B6455D">
        <w:rPr>
          <w:i/>
          <w:sz w:val="28"/>
          <w:szCs w:val="28"/>
          <w:lang w:val="en-US"/>
        </w:rPr>
        <w:t>–24 The range also reflects uncertainty in the response of the climate system to past and future GHG emissions (measured by the climate sensitivity).</w:t>
      </w:r>
    </w:p>
    <w:p w:rsidR="00B6455D" w:rsidRPr="00B6455D" w:rsidRDefault="00B6455D" w:rsidP="00B6455D">
      <w:pPr>
        <w:rPr>
          <w:i/>
          <w:sz w:val="28"/>
          <w:szCs w:val="28"/>
          <w:lang w:val="en-US"/>
        </w:rPr>
      </w:pPr>
    </w:p>
    <w:p w:rsidR="00B6455D" w:rsidRPr="00B6455D" w:rsidRDefault="00B6455D" w:rsidP="00B6455D">
      <w:pPr>
        <w:rPr>
          <w:i/>
          <w:sz w:val="28"/>
          <w:szCs w:val="28"/>
          <w:lang w:val="en-US"/>
        </w:rPr>
      </w:pPr>
      <w:bookmarkStart w:id="3" w:name="obj"/>
      <w:r w:rsidRPr="00B6455D">
        <w:rPr>
          <w:i/>
          <w:sz w:val="28"/>
          <w:szCs w:val="28"/>
          <w:lang w:val="en-US"/>
        </w:rPr>
        <w:lastRenderedPageBreak/>
        <w:t>Objectives</w:t>
      </w:r>
    </w:p>
    <w:bookmarkEnd w:id="3"/>
    <w:p w:rsidR="00B6455D" w:rsidRPr="00B6455D" w:rsidRDefault="00B6455D" w:rsidP="00B6455D">
      <w:pPr>
        <w:rPr>
          <w:i/>
          <w:sz w:val="28"/>
          <w:szCs w:val="28"/>
          <w:lang w:val="en-US"/>
        </w:rPr>
      </w:pPr>
      <w:r w:rsidRPr="00B6455D">
        <w:rPr>
          <w:i/>
          <w:sz w:val="28"/>
          <w:szCs w:val="28"/>
          <w:lang w:val="en-US"/>
        </w:rPr>
        <w:t>The main goal of the Kyoto Protocol is to control emissions of the main anthropogenic (i.e., human-emitted) greenhouse gases (GHGs) in ways that reflect underlying national differences in GHG emissions, wealth, and capacity to make the reductions. The treaty follows the main principles agreed in the original 1992 UN Framework Convention. According to the treaty, in 2012, Annex I Parties who have ratified the treaty must have fulfilled their obligations of greenhouse gas emissions limitations established for the Kyoto Protocol's first commitment period (2008–2012). These emissions limitation commitments are listed in Annex B of the Protocol.</w:t>
      </w:r>
    </w:p>
    <w:p w:rsidR="00B6455D" w:rsidRPr="00B6455D" w:rsidRDefault="00B6455D" w:rsidP="00B6455D">
      <w:pPr>
        <w:rPr>
          <w:i/>
          <w:sz w:val="28"/>
          <w:szCs w:val="28"/>
          <w:lang w:val="en-US"/>
        </w:rPr>
      </w:pPr>
      <w:r w:rsidRPr="00B6455D">
        <w:rPr>
          <w:i/>
          <w:sz w:val="28"/>
          <w:szCs w:val="28"/>
          <w:lang w:val="en-US"/>
        </w:rPr>
        <w:t>The Kyoto Protocol's first round commitments are the first detailed step taken within the UN Framework Convention on Climate Change (Gupta et al., 2007). The Protocol establishes a structure of rolling emission reduction commitment periods. It set a timetable starting in 2006 for negotiations to establish emission reduction commitments for a second commitment period (see Kyoto Protocol#Successor for details). The first period emission reduction commitments expired on 31 December 2012.</w:t>
      </w:r>
    </w:p>
    <w:p w:rsidR="00B6455D" w:rsidRPr="00B6455D" w:rsidRDefault="00B6455D" w:rsidP="00B6455D">
      <w:pPr>
        <w:rPr>
          <w:i/>
          <w:sz w:val="28"/>
          <w:szCs w:val="28"/>
          <w:lang w:val="en-US"/>
        </w:rPr>
      </w:pPr>
      <w:r w:rsidRPr="00B6455D">
        <w:rPr>
          <w:i/>
          <w:sz w:val="28"/>
          <w:szCs w:val="28"/>
          <w:lang w:val="en-US"/>
        </w:rPr>
        <w:t>The ultimate objective of the UNFCCC is the "stabilization of greenhouse gas concentrations in the atmosphere at a level that would stop dangerous anthropogenic interference with the climate system." Even if Annex I Parties succeed in meeting their first-round commitments, much greater emission reductions will be required in future to stabilize atmospheric GHG concentrations.</w:t>
      </w:r>
    </w:p>
    <w:p w:rsidR="00B6455D" w:rsidRPr="00B6455D" w:rsidRDefault="00B6455D" w:rsidP="00B6455D">
      <w:pPr>
        <w:rPr>
          <w:i/>
          <w:sz w:val="28"/>
          <w:szCs w:val="28"/>
          <w:lang w:val="en-US"/>
        </w:rPr>
      </w:pPr>
      <w:r w:rsidRPr="00B6455D">
        <w:rPr>
          <w:i/>
          <w:sz w:val="28"/>
          <w:szCs w:val="28"/>
          <w:lang w:val="en-US"/>
        </w:rPr>
        <w:t>For each of the different anthropogenic GHGs, different levels of emissions reductions would be required to meet the objective of stabilizing atmospheric concentrations (see United Nations Framework Convention on Climate Change#Stabilization of greenhouse gas concentrations). Carbon dioxide (CO2) is the most important anthropogenic GHG. Stabilizing the concentration of CO2 in the atmosphere would ultimately require the effective elimination of anthropogenic CO2 emissions.</w:t>
      </w:r>
    </w:p>
    <w:p w:rsidR="00B6455D" w:rsidRPr="00B6455D" w:rsidRDefault="00B6455D" w:rsidP="00B6455D">
      <w:pPr>
        <w:rPr>
          <w:i/>
          <w:sz w:val="28"/>
          <w:szCs w:val="28"/>
          <w:lang w:val="en-US"/>
        </w:rPr>
      </w:pPr>
      <w:r w:rsidRPr="00B6455D">
        <w:rPr>
          <w:i/>
          <w:sz w:val="28"/>
          <w:szCs w:val="28"/>
          <w:lang w:val="en-US"/>
        </w:rPr>
        <w:t>Some of the principal concepts of the Kyoto Protocol are:</w:t>
      </w:r>
    </w:p>
    <w:p w:rsidR="00B6455D" w:rsidRPr="00B6455D" w:rsidRDefault="00B6455D" w:rsidP="00B6455D">
      <w:pPr>
        <w:rPr>
          <w:i/>
          <w:sz w:val="28"/>
          <w:szCs w:val="28"/>
          <w:lang w:val="en-US"/>
        </w:rPr>
      </w:pPr>
      <w:r w:rsidRPr="00B6455D">
        <w:rPr>
          <w:i/>
          <w:sz w:val="28"/>
          <w:szCs w:val="28"/>
          <w:lang w:val="en-US"/>
        </w:rPr>
        <w:lastRenderedPageBreak/>
        <w:t>- Binding commitments for the Annex I Parties. The main feature of the Protocol is that it established legally binding commitments to reduce emissions of greenhouse gases for Annex I Parties. The commitments were based on the Berlin Mandate, which was a part of UNFCCC negotiations leading up to the Protocol.</w:t>
      </w:r>
    </w:p>
    <w:p w:rsidR="00B6455D" w:rsidRPr="00B6455D" w:rsidRDefault="00B6455D" w:rsidP="00B6455D">
      <w:pPr>
        <w:rPr>
          <w:i/>
          <w:sz w:val="28"/>
          <w:szCs w:val="28"/>
          <w:lang w:val="en-US"/>
        </w:rPr>
      </w:pPr>
      <w:r w:rsidRPr="00B6455D">
        <w:rPr>
          <w:i/>
          <w:sz w:val="28"/>
          <w:szCs w:val="28"/>
          <w:lang w:val="en-US"/>
        </w:rPr>
        <w:t>- Implementation. In order to meet the objectives of the Protocol, Annex I Parties are required to prepare policies and measures for the reduction of greenhouse gases in their respective countries. In addition, they are required to increase the absorption of these gases and utilize all mechanisms available, such as joint implementation, the clean development mechanism and emissions trading, in order to be rewarded with credits that would allow more greenhouse gas emissions at home.</w:t>
      </w:r>
    </w:p>
    <w:p w:rsidR="00B6455D" w:rsidRPr="00B6455D" w:rsidRDefault="00B6455D" w:rsidP="00B6455D">
      <w:pPr>
        <w:rPr>
          <w:i/>
          <w:sz w:val="28"/>
          <w:szCs w:val="28"/>
          <w:lang w:val="en-US"/>
        </w:rPr>
      </w:pPr>
      <w:r w:rsidRPr="00B6455D">
        <w:rPr>
          <w:i/>
          <w:sz w:val="28"/>
          <w:szCs w:val="28"/>
          <w:lang w:val="en-US"/>
        </w:rPr>
        <w:t>- Minimizing Impacts on Developing Countries by establishing an adaptation fund for climate change.</w:t>
      </w:r>
    </w:p>
    <w:p w:rsidR="00B6455D" w:rsidRPr="00B6455D" w:rsidRDefault="00B6455D" w:rsidP="00B6455D">
      <w:pPr>
        <w:rPr>
          <w:i/>
          <w:sz w:val="28"/>
          <w:szCs w:val="28"/>
          <w:lang w:val="en-US"/>
        </w:rPr>
      </w:pPr>
      <w:r w:rsidRPr="00B6455D">
        <w:rPr>
          <w:i/>
          <w:sz w:val="28"/>
          <w:szCs w:val="28"/>
          <w:lang w:val="en-US"/>
        </w:rPr>
        <w:t>- Accounting, Reporting and Review in order to ensure the integrity of the Protocol.</w:t>
      </w:r>
    </w:p>
    <w:p w:rsidR="00B6455D" w:rsidRPr="00B6455D" w:rsidRDefault="00B6455D" w:rsidP="00B6455D">
      <w:pPr>
        <w:rPr>
          <w:i/>
          <w:sz w:val="28"/>
          <w:szCs w:val="28"/>
          <w:lang w:val="en-US"/>
        </w:rPr>
      </w:pPr>
      <w:r w:rsidRPr="00B6455D">
        <w:rPr>
          <w:i/>
          <w:sz w:val="28"/>
          <w:szCs w:val="28"/>
          <w:lang w:val="en-US"/>
        </w:rPr>
        <w:t xml:space="preserve">- Compliance. </w:t>
      </w:r>
      <w:proofErr w:type="gramStart"/>
      <w:r w:rsidRPr="00B6455D">
        <w:rPr>
          <w:i/>
          <w:sz w:val="28"/>
          <w:szCs w:val="28"/>
          <w:lang w:val="en-US"/>
        </w:rPr>
        <w:t>Establishing a Compliance Committee to enforce compliance with the commitments under the Protocol.</w:t>
      </w:r>
      <w:proofErr w:type="gramEnd"/>
    </w:p>
    <w:p w:rsidR="00B6455D" w:rsidRPr="00B6455D" w:rsidRDefault="00B6455D" w:rsidP="00B6455D">
      <w:pPr>
        <w:rPr>
          <w:i/>
          <w:sz w:val="28"/>
          <w:szCs w:val="28"/>
          <w:lang w:val="en-US"/>
        </w:rPr>
      </w:pPr>
    </w:p>
    <w:p w:rsidR="00B6455D" w:rsidRPr="00B6455D" w:rsidRDefault="00B6455D" w:rsidP="00B6455D">
      <w:pPr>
        <w:rPr>
          <w:i/>
          <w:sz w:val="32"/>
          <w:szCs w:val="32"/>
          <w:lang w:val="en-US"/>
        </w:rPr>
      </w:pPr>
    </w:p>
    <w:p w:rsidR="00B6455D" w:rsidRPr="00B6455D" w:rsidRDefault="00B6455D" w:rsidP="00B6455D">
      <w:pPr>
        <w:rPr>
          <w:i/>
          <w:sz w:val="18"/>
          <w:szCs w:val="18"/>
          <w:lang w:val="en-US"/>
        </w:rPr>
      </w:pPr>
    </w:p>
    <w:p w:rsidR="00B6455D" w:rsidRPr="00B6455D" w:rsidRDefault="00B6455D" w:rsidP="00B6455D">
      <w:pPr>
        <w:rPr>
          <w:i/>
          <w:sz w:val="18"/>
          <w:szCs w:val="18"/>
          <w:lang w:val="en-US"/>
        </w:rPr>
      </w:pPr>
    </w:p>
    <w:p w:rsidR="007178B4" w:rsidRDefault="007178B4">
      <w:pPr>
        <w:rPr>
          <w:i/>
          <w:sz w:val="18"/>
          <w:szCs w:val="18"/>
          <w:lang w:val="en-US"/>
        </w:rPr>
      </w:pPr>
      <w:r>
        <w:rPr>
          <w:i/>
          <w:sz w:val="18"/>
          <w:szCs w:val="18"/>
          <w:lang w:val="en-US"/>
        </w:rPr>
        <w:br w:type="page"/>
      </w:r>
    </w:p>
    <w:p w:rsidR="007178B4" w:rsidRDefault="007178B4" w:rsidP="004339F3">
      <w:pPr>
        <w:spacing w:after="0" w:line="240" w:lineRule="auto"/>
        <w:ind w:left="3969"/>
        <w:rPr>
          <w:i/>
          <w:sz w:val="18"/>
          <w:szCs w:val="18"/>
          <w:lang w:val="en-US"/>
        </w:rPr>
      </w:pPr>
    </w:p>
    <w:p w:rsidR="003B0D09" w:rsidRPr="003B0D09" w:rsidRDefault="003B0D09" w:rsidP="003B0D09">
      <w:pPr>
        <w:ind w:left="1560" w:right="5498"/>
        <w:rPr>
          <w:i/>
          <w:noProof/>
          <w:sz w:val="18"/>
          <w:szCs w:val="18"/>
          <w:lang w:eastAsia="ru-RU"/>
        </w:rPr>
      </w:pPr>
      <w:bookmarkStart w:id="4" w:name="Укр"/>
      <w:r>
        <w:rPr>
          <w:i/>
          <w:noProof/>
          <w:sz w:val="18"/>
          <w:szCs w:val="18"/>
          <w:lang w:eastAsia="ru-RU"/>
        </w:rPr>
        <w:pict>
          <v:shape id="_x0000_s1043" type="#_x0000_t202" style="position:absolute;left:0;text-align:left;margin-left:-46.6pt;margin-top:58.15pt;width:104.55pt;height:33.4pt;z-index:251679744;mso-height-percent:200;mso-height-percent:200;mso-width-relative:margin;mso-height-relative:margin">
            <v:textbox style="mso-next-textbox:#_x0000_s1043;mso-fit-shape-to-text:t">
              <w:txbxContent>
                <w:p w:rsidR="003B0D09" w:rsidRPr="00B6455D" w:rsidRDefault="003B0D09" w:rsidP="003B0D09">
                  <w:pPr>
                    <w:rPr>
                      <w:lang w:val="uk-UA"/>
                    </w:rPr>
                  </w:pPr>
                  <w:hyperlink w:anchor="Укр" w:history="1">
                    <w:r w:rsidRPr="003B0D09">
                      <w:rPr>
                        <w:rStyle w:val="a5"/>
                        <w:lang w:val="uk-UA"/>
                      </w:rPr>
                      <w:t>Українська</w:t>
                    </w:r>
                  </w:hyperlink>
                </w:p>
              </w:txbxContent>
            </v:textbox>
          </v:shape>
        </w:pict>
      </w:r>
      <w:r>
        <w:rPr>
          <w:i/>
          <w:noProof/>
          <w:sz w:val="18"/>
          <w:szCs w:val="18"/>
          <w:lang w:eastAsia="ru-RU"/>
        </w:rPr>
        <w:pict>
          <v:shape id="_x0000_s1042" type="#_x0000_t202" style="position:absolute;left:0;text-align:left;margin-left:-46.6pt;margin-top:24.05pt;width:104.55pt;height:33.4pt;z-index:251678720;mso-height-percent:200;mso-height-percent:200;mso-width-relative:margin;mso-height-relative:margin">
            <v:textbox style="mso-next-textbox:#_x0000_s1042;mso-fit-shape-to-text:t">
              <w:txbxContent>
                <w:p w:rsidR="003B0D09" w:rsidRPr="00B6455D" w:rsidRDefault="003B0D09" w:rsidP="003B0D09">
                  <w:hyperlink w:anchor="рус" w:history="1">
                    <w:r w:rsidRPr="003B0D09">
                      <w:rPr>
                        <w:rStyle w:val="a5"/>
                      </w:rPr>
                      <w:t>Русский</w:t>
                    </w:r>
                  </w:hyperlink>
                </w:p>
              </w:txbxContent>
            </v:textbox>
          </v:shape>
        </w:pict>
      </w:r>
      <w:r w:rsidRPr="00B6455D">
        <w:rPr>
          <w:i/>
          <w:noProof/>
          <w:sz w:val="18"/>
          <w:szCs w:val="18"/>
          <w:lang w:val="uk-UA"/>
        </w:rPr>
        <w:pict>
          <v:shape id="_x0000_s1041" type="#_x0000_t202" style="position:absolute;left:0;text-align:left;margin-left:-47.15pt;margin-top:-10.45pt;width:104.55pt;height:33.4pt;z-index:251677696;mso-height-percent:200;mso-height-percent:200;mso-width-relative:margin;mso-height-relative:margin">
            <v:textbox style="mso-next-textbox:#_x0000_s1041;mso-fit-shape-to-text:t">
              <w:txbxContent>
                <w:p w:rsidR="003B0D09" w:rsidRDefault="003B0D09" w:rsidP="003B0D09">
                  <w:hyperlink w:anchor="_top" w:history="1">
                    <w:r w:rsidRPr="003B0D09">
                      <w:rPr>
                        <w:rStyle w:val="a5"/>
                        <w:lang w:val="en-US"/>
                      </w:rPr>
                      <w:t>English</w:t>
                    </w:r>
                  </w:hyperlink>
                </w:p>
              </w:txbxContent>
            </v:textbox>
          </v:shape>
        </w:pict>
      </w:r>
      <w:r>
        <w:rPr>
          <w:i/>
          <w:noProof/>
          <w:sz w:val="18"/>
          <w:szCs w:val="18"/>
          <w:lang w:eastAsia="ru-RU"/>
        </w:rPr>
        <w:drawing>
          <wp:anchor distT="0" distB="0" distL="114300" distR="114300" simplePos="0" relativeHeight="251672576" behindDoc="0" locked="0" layoutInCell="1" allowOverlap="1">
            <wp:simplePos x="0" y="0"/>
            <wp:positionH relativeFrom="column">
              <wp:posOffset>5937250</wp:posOffset>
            </wp:positionH>
            <wp:positionV relativeFrom="paragraph">
              <wp:posOffset>-213360</wp:posOffset>
            </wp:positionV>
            <wp:extent cx="3887470" cy="3218180"/>
            <wp:effectExtent l="19050" t="0" r="0" b="0"/>
            <wp:wrapThrough wrapText="bothSides">
              <wp:wrapPolygon edited="0">
                <wp:start x="-106" y="0"/>
                <wp:lineTo x="-106" y="21481"/>
                <wp:lineTo x="21593" y="21481"/>
                <wp:lineTo x="21593" y="0"/>
                <wp:lineTo x="-106" y="0"/>
              </wp:wrapPolygon>
            </wp:wrapThrough>
            <wp:docPr id="3" name="Рисунок 1" descr="300px-Kyoto_Protocol_participation_map_2009.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0px-Kyoto_Protocol_participation_map_2009.png"/>
                    <pic:cNvPicPr/>
                  </pic:nvPicPr>
                  <pic:blipFill>
                    <a:blip r:embed="rId6" cstate="print"/>
                    <a:stretch>
                      <a:fillRect/>
                    </a:stretch>
                  </pic:blipFill>
                  <pic:spPr>
                    <a:xfrm>
                      <a:off x="0" y="0"/>
                      <a:ext cx="3887470" cy="3218180"/>
                    </a:xfrm>
                    <a:prstGeom prst="rect">
                      <a:avLst/>
                    </a:prstGeom>
                  </pic:spPr>
                </pic:pic>
              </a:graphicData>
            </a:graphic>
          </wp:anchor>
        </w:drawing>
      </w:r>
      <w:r>
        <w:rPr>
          <w:i/>
          <w:noProof/>
          <w:sz w:val="18"/>
          <w:szCs w:val="18"/>
          <w:lang w:eastAsia="ru-RU"/>
        </w:rPr>
        <w:pict>
          <v:rect id="_x0000_s1039" style="position:absolute;left:0;text-align:left;margin-left:-54.85pt;margin-top:-85.05pt;width:119.7pt;height:594.7pt;z-index:251675648;mso-position-horizontal-relative:text;mso-position-vertical-relative:text" fillcolor="white [3201]" strokecolor="#666 [1936]" strokeweight="1pt">
            <v:fill color2="#999 [1296]" focusposition="1" focussize="" focus="100%" type="gradient"/>
            <v:shadow on="t" type="perspective" color="#7f7f7f [1601]" opacity=".5" offset="1pt" offset2="-3pt"/>
          </v:rect>
        </w:pict>
      </w:r>
      <w:r w:rsidRPr="00B6455D">
        <w:rPr>
          <w:i/>
          <w:noProof/>
          <w:sz w:val="18"/>
          <w:szCs w:val="18"/>
          <w:lang w:val="uk-UA"/>
        </w:rPr>
        <w:pict>
          <v:shape id="_x0000_s1038" type="#_x0000_t202" style="position:absolute;left:0;text-align:left;margin-left:457.75pt;margin-top:-80.05pt;width:289.7pt;height:95.15pt;z-index:251674624;mso-width-percent:400;mso-height-percent:200;mso-position-horizontal-relative:text;mso-position-vertical-relative:text;mso-width-percent:400;mso-height-percent:200;mso-width-relative:margin;mso-height-relative:margin">
            <v:textbox style="mso-fit-shape-to-text:t">
              <w:txbxContent>
                <w:p w:rsidR="003B0D09" w:rsidRPr="003B0D09" w:rsidRDefault="003B0D09" w:rsidP="003B0D09">
                  <w:pPr>
                    <w:rPr>
                      <w:sz w:val="36"/>
                      <w:szCs w:val="36"/>
                    </w:rPr>
                  </w:pPr>
                  <w:hyperlink w:anchor="Зміст" w:history="1">
                    <w:r w:rsidRPr="003B0D09">
                      <w:rPr>
                        <w:rStyle w:val="a5"/>
                        <w:i/>
                        <w:noProof/>
                        <w:sz w:val="36"/>
                        <w:szCs w:val="36"/>
                        <w:lang w:eastAsia="ru-RU"/>
                      </w:rPr>
                      <w:t>Кіотський протокол</w:t>
                    </w:r>
                  </w:hyperlink>
                </w:p>
              </w:txbxContent>
            </v:textbox>
          </v:shape>
        </w:pict>
      </w:r>
      <w:r w:rsidRPr="00515F32">
        <w:rPr>
          <w:noProof/>
          <w:lang w:val="uk-UA"/>
        </w:rPr>
        <w:pict>
          <v:shape id="_x0000_s1037" type="#_x0000_t202" style="position:absolute;left:0;text-align:left;margin-left:883.3pt;margin-top:-2.45pt;width:238.6pt;height:17.55pt;z-index:251673600;mso-position-horizontal-relative:text;mso-position-vertical-relative:text">
            <v:textbox>
              <w:txbxContent>
                <w:p w:rsidR="003B0D09" w:rsidRDefault="003B0D09" w:rsidP="003B0D09">
                  <w:r w:rsidRPr="007178B4">
                    <w:rPr>
                      <w:i/>
                      <w:sz w:val="18"/>
                      <w:szCs w:val="18"/>
                      <w:lang w:val="uk-UA"/>
                    </w:rPr>
                    <w:t>The Kyoto Protocol</w:t>
                  </w:r>
                </w:p>
              </w:txbxContent>
            </v:textbox>
          </v:shape>
        </w:pict>
      </w:r>
      <w:proofErr w:type="gramStart"/>
      <w:r w:rsidRPr="003B0D09">
        <w:rPr>
          <w:i/>
          <w:noProof/>
          <w:sz w:val="18"/>
          <w:szCs w:val="18"/>
          <w:lang w:eastAsia="ru-RU"/>
        </w:rPr>
        <w:t xml:space="preserve">Кіотський протокол </w:t>
      </w:r>
      <w:bookmarkEnd w:id="4"/>
      <w:r w:rsidRPr="003B0D09">
        <w:rPr>
          <w:i/>
          <w:noProof/>
          <w:sz w:val="18"/>
          <w:szCs w:val="18"/>
          <w:lang w:eastAsia="ru-RU"/>
        </w:rPr>
        <w:t xml:space="preserve">— міжнародна угода про обмеження викидів в атмосферу парникових газів. Головна мета угоди: стабілізувати рівень концентрації парникових газів в атмосфері на рівні, який не допускав би небезпечного антропогенного впливу на кліматичну систему планети. </w:t>
      </w:r>
      <w:proofErr w:type="gramEnd"/>
    </w:p>
    <w:p w:rsidR="003B0D09" w:rsidRPr="003B0D09" w:rsidRDefault="003B0D09" w:rsidP="003B0D09">
      <w:pPr>
        <w:ind w:left="1560" w:right="5498"/>
        <w:rPr>
          <w:i/>
          <w:noProof/>
          <w:sz w:val="18"/>
          <w:szCs w:val="18"/>
          <w:lang w:eastAsia="ru-RU"/>
        </w:rPr>
      </w:pPr>
      <w:r w:rsidRPr="003B0D09">
        <w:rPr>
          <w:i/>
          <w:noProof/>
          <w:sz w:val="18"/>
          <w:szCs w:val="18"/>
          <w:lang w:eastAsia="ru-RU"/>
        </w:rPr>
        <w:t>Протокол зобов'язує розвинуті країни та країни з перехідною економікою скоротити або стабілізувати викиди парникових газів у 2008–2012 роках до рівня 1990 року.</w:t>
      </w:r>
    </w:p>
    <w:p w:rsidR="003B0D09" w:rsidRPr="003B0D09" w:rsidRDefault="003B0D09" w:rsidP="003B0D09">
      <w:pPr>
        <w:ind w:left="1560" w:right="5498"/>
        <w:rPr>
          <w:i/>
          <w:noProof/>
          <w:sz w:val="18"/>
          <w:szCs w:val="18"/>
          <w:lang w:eastAsia="ru-RU"/>
        </w:rPr>
      </w:pPr>
      <w:r w:rsidRPr="003B0D09">
        <w:rPr>
          <w:i/>
          <w:noProof/>
          <w:sz w:val="18"/>
          <w:szCs w:val="18"/>
          <w:lang w:eastAsia="ru-RU"/>
        </w:rPr>
        <w:t>Кіотський протокол  — додатковий документ до Рамкової конвенції ООН зі змін клімату, підписаної 1992 року на міжнародній конференції в Ріо-де-Жанейро. Конвенція набрала силу у 1994 році. Сам протокол прийнято в Кіото 11 грудня 1997 року. Період підписання протоколу відкрився 16 березня 1998 року і завершився 15 березня 1999 року. Кіотський протокол почав діяти з 16 лютого 2005 року.</w:t>
      </w:r>
    </w:p>
    <w:p w:rsidR="003B0D09" w:rsidRPr="003B0D09" w:rsidRDefault="003B0D09" w:rsidP="003B0D09">
      <w:pPr>
        <w:ind w:left="1560" w:right="5498"/>
        <w:rPr>
          <w:i/>
          <w:noProof/>
          <w:sz w:val="18"/>
          <w:szCs w:val="18"/>
          <w:lang w:eastAsia="ru-RU"/>
        </w:rPr>
      </w:pPr>
      <w:r w:rsidRPr="003B0D09">
        <w:rPr>
          <w:i/>
          <w:noProof/>
          <w:sz w:val="18"/>
          <w:szCs w:val="18"/>
          <w:lang w:eastAsia="ru-RU"/>
        </w:rPr>
        <w:t>На сьогоднішній день підписала та ратифікувала протокол 191 країна, в тому числі більшість промислово розвинутих країн, крім США, які підписали, але не ратифікували угоду.</w:t>
      </w:r>
    </w:p>
    <w:p w:rsidR="003B0D09" w:rsidRPr="003B0D09" w:rsidRDefault="003B0D09" w:rsidP="003B0D09">
      <w:pPr>
        <w:ind w:left="1560" w:right="5498"/>
        <w:rPr>
          <w:i/>
          <w:sz w:val="18"/>
          <w:szCs w:val="18"/>
        </w:rPr>
      </w:pPr>
      <w:r w:rsidRPr="003B0D09">
        <w:rPr>
          <w:i/>
          <w:noProof/>
          <w:sz w:val="18"/>
          <w:szCs w:val="18"/>
        </w:rPr>
        <w:pict>
          <v:shape id="_x0000_s1044" type="#_x0000_t202" style="position:absolute;left:0;text-align:left;margin-left:481pt;margin-top:44.35pt;width:289.7pt;height:216.95pt;z-index:251681792;mso-width-percent:400;mso-height-percent:200;mso-width-percent:400;mso-height-percent:200;mso-width-relative:margin;mso-height-relative:margin">
            <v:textbox style="mso-fit-shape-to-text:t">
              <w:txbxContent>
                <w:p w:rsidR="003B0D09" w:rsidRDefault="003B0D09" w:rsidP="003B0D09">
                  <w:r>
                    <w:t xml:space="preserve">Країни, що </w:t>
                  </w:r>
                  <w:proofErr w:type="gramStart"/>
                  <w:r>
                    <w:t>п</w:t>
                  </w:r>
                  <w:proofErr w:type="gramEnd"/>
                  <w:r>
                    <w:t>ідписали та ратифікували протокол</w:t>
                  </w:r>
                </w:p>
                <w:p w:rsidR="003B0D09" w:rsidRDefault="003B0D09" w:rsidP="003B0D09">
                  <w:r>
                    <w:t xml:space="preserve">Країни, що </w:t>
                  </w:r>
                  <w:proofErr w:type="gramStart"/>
                  <w:r>
                    <w:t>п</w:t>
                  </w:r>
                  <w:proofErr w:type="gramEnd"/>
                  <w:r>
                    <w:t>ідписали але не ратифікували протокол (США)</w:t>
                  </w:r>
                </w:p>
                <w:p w:rsidR="003B0D09" w:rsidRDefault="003B0D09" w:rsidP="003B0D09">
                  <w:r>
                    <w:t>Входить у: Рамкова конвенція ООН про зміну клімату (1992)</w:t>
                  </w:r>
                </w:p>
                <w:p w:rsidR="003B0D09" w:rsidRDefault="003B0D09" w:rsidP="003B0D09">
                  <w:r>
                    <w:t>Дата прийняття: 11 грудня 1997 року</w:t>
                  </w:r>
                </w:p>
                <w:p w:rsidR="003B0D09" w:rsidRDefault="003B0D09" w:rsidP="003B0D09">
                  <w:r>
                    <w:t xml:space="preserve">Почав діяти з: 16 </w:t>
                  </w:r>
                  <w:proofErr w:type="gramStart"/>
                  <w:r>
                    <w:t>лютого</w:t>
                  </w:r>
                  <w:proofErr w:type="gramEnd"/>
                  <w:r>
                    <w:t xml:space="preserve"> 2005 року</w:t>
                  </w:r>
                </w:p>
                <w:p w:rsidR="003B0D09" w:rsidRDefault="003B0D09" w:rsidP="003B0D09">
                  <w:r>
                    <w:t xml:space="preserve">Місце </w:t>
                  </w:r>
                  <w:proofErr w:type="gramStart"/>
                  <w:r>
                    <w:t>п</w:t>
                  </w:r>
                  <w:proofErr w:type="gramEnd"/>
                  <w:r>
                    <w:t xml:space="preserve">ідписання: </w:t>
                  </w:r>
                  <w:proofErr w:type="gramStart"/>
                  <w:r>
                    <w:t>К</w:t>
                  </w:r>
                  <w:proofErr w:type="gramEnd"/>
                  <w:r>
                    <w:t>іото, Японія</w:t>
                  </w:r>
                </w:p>
                <w:p w:rsidR="003B0D09" w:rsidRDefault="003B0D09" w:rsidP="003B0D09">
                  <w:r>
                    <w:t>Кількість країн-учасниць: 187</w:t>
                  </w:r>
                </w:p>
              </w:txbxContent>
            </v:textbox>
          </v:shape>
        </w:pict>
      </w:r>
      <w:r w:rsidRPr="003B0D09">
        <w:rPr>
          <w:i/>
          <w:noProof/>
          <w:sz w:val="18"/>
          <w:szCs w:val="18"/>
          <w:lang w:eastAsia="ru-RU"/>
        </w:rPr>
        <w:t>Ним було узгоджено, що країни-учасниці зобов'язані зменшити середньорічні обсяги викидів парникових газів в період 2008–2012 рр. в середньому на 5,2% (у порівнянні з 1990 р.). Окреме зобов'язання щодо їх зниження взяли Японія — на 6%, США — на 7% та ЄС — на 8%. В межах ЄС на окремі країни були накладені різні обмеження. Зокрема, в червні 1998 року Міністри навколишнього середовища країн ЄС своєю постановою зобов'язали Австрію зменшити їх викиди на 13% (для порівняння: північні країни ЄС зобов'язались досягти максимального їх пониження, на 28%).</w:t>
      </w:r>
      <w:r w:rsidRPr="004339F3">
        <w:rPr>
          <w:i/>
          <w:sz w:val="18"/>
          <w:szCs w:val="18"/>
          <w:lang w:val="uk-UA"/>
        </w:rPr>
        <w:t xml:space="preserve"> </w:t>
      </w:r>
    </w:p>
    <w:p w:rsidR="003B0D09" w:rsidRPr="003B0D09" w:rsidRDefault="003B0D09" w:rsidP="003B0D09">
      <w:pPr>
        <w:spacing w:after="0" w:line="240" w:lineRule="auto"/>
        <w:ind w:left="1560"/>
        <w:rPr>
          <w:i/>
          <w:sz w:val="18"/>
          <w:szCs w:val="18"/>
        </w:rPr>
      </w:pPr>
    </w:p>
    <w:p w:rsidR="003B0D09" w:rsidRPr="003B0D09" w:rsidRDefault="003B0D09" w:rsidP="003B0D09">
      <w:pPr>
        <w:spacing w:after="0" w:line="240" w:lineRule="auto"/>
        <w:ind w:left="3969"/>
        <w:rPr>
          <w:i/>
          <w:sz w:val="18"/>
          <w:szCs w:val="18"/>
        </w:rPr>
      </w:pPr>
    </w:p>
    <w:p w:rsidR="003B0D09" w:rsidRPr="003B0D09" w:rsidRDefault="003B0D09" w:rsidP="003B0D09">
      <w:pPr>
        <w:spacing w:after="0" w:line="240" w:lineRule="auto"/>
        <w:ind w:left="3969"/>
        <w:rPr>
          <w:i/>
          <w:sz w:val="18"/>
          <w:szCs w:val="18"/>
        </w:rPr>
      </w:pPr>
    </w:p>
    <w:p w:rsidR="003B0D09" w:rsidRPr="003B0D09" w:rsidRDefault="003B0D09" w:rsidP="003B0D09">
      <w:pPr>
        <w:spacing w:after="0" w:line="240" w:lineRule="auto"/>
        <w:ind w:left="3969"/>
        <w:rPr>
          <w:i/>
          <w:sz w:val="18"/>
          <w:szCs w:val="18"/>
        </w:rPr>
      </w:pPr>
      <w:r w:rsidRPr="003B0D09">
        <w:rPr>
          <w:i/>
          <w:sz w:val="18"/>
          <w:szCs w:val="18"/>
        </w:rPr>
        <w:t xml:space="preserve">                                                                                                                                                                                                                                                                                                                                                                                                   </w:t>
      </w:r>
      <w:r w:rsidRPr="004339F3">
        <w:rPr>
          <w:i/>
          <w:sz w:val="18"/>
          <w:szCs w:val="18"/>
          <w:lang w:val="uk-UA"/>
        </w:rPr>
        <w:t xml:space="preserve">  </w:t>
      </w:r>
      <w:r w:rsidRPr="003B0D09">
        <w:rPr>
          <w:i/>
          <w:sz w:val="18"/>
          <w:szCs w:val="18"/>
        </w:rPr>
        <w:t xml:space="preserve">                                                                                                                                                                                          </w:t>
      </w:r>
      <w:r w:rsidRPr="004339F3">
        <w:rPr>
          <w:i/>
          <w:sz w:val="18"/>
          <w:szCs w:val="18"/>
          <w:lang w:val="uk-UA"/>
        </w:rPr>
        <w:t xml:space="preserve"> </w:t>
      </w:r>
      <w:r w:rsidRPr="003B0D09">
        <w:rPr>
          <w:i/>
          <w:sz w:val="18"/>
          <w:szCs w:val="18"/>
        </w:rPr>
        <w:t xml:space="preserve">                   </w:t>
      </w:r>
    </w:p>
    <w:p w:rsidR="003B0D09" w:rsidRPr="003B0D09" w:rsidRDefault="003B0D09" w:rsidP="003B0D09">
      <w:pPr>
        <w:spacing w:after="0" w:line="240" w:lineRule="auto"/>
        <w:ind w:left="3969"/>
        <w:rPr>
          <w:i/>
          <w:sz w:val="18"/>
          <w:szCs w:val="18"/>
        </w:rPr>
      </w:pPr>
    </w:p>
    <w:p w:rsidR="003B0D09" w:rsidRPr="003B0D09" w:rsidRDefault="003B0D09" w:rsidP="003B0D09">
      <w:pPr>
        <w:spacing w:after="0" w:line="240" w:lineRule="auto"/>
        <w:ind w:left="3969"/>
        <w:rPr>
          <w:i/>
          <w:sz w:val="18"/>
          <w:szCs w:val="18"/>
        </w:rPr>
      </w:pPr>
      <w:r w:rsidRPr="003B0D09">
        <w:rPr>
          <w:i/>
          <w:sz w:val="18"/>
          <w:szCs w:val="18"/>
        </w:rPr>
        <w:t xml:space="preserve">                                                                                                                                                                                                                                                                                                   </w:t>
      </w:r>
    </w:p>
    <w:p w:rsidR="003B0D09" w:rsidRPr="007178B4" w:rsidRDefault="003B0D09" w:rsidP="003B0D09">
      <w:pPr>
        <w:spacing w:after="0" w:line="240" w:lineRule="auto"/>
        <w:ind w:left="3969"/>
        <w:rPr>
          <w:i/>
          <w:sz w:val="18"/>
          <w:szCs w:val="18"/>
          <w:lang w:val="uk-UA"/>
        </w:rPr>
      </w:pPr>
      <w:r>
        <w:rPr>
          <w:i/>
          <w:sz w:val="18"/>
          <w:szCs w:val="18"/>
          <w:lang w:val="uk-UA"/>
        </w:rPr>
        <w:br/>
      </w:r>
      <w:r>
        <w:rPr>
          <w:i/>
          <w:sz w:val="18"/>
          <w:szCs w:val="18"/>
          <w:lang w:val="uk-UA"/>
        </w:rPr>
        <w:br/>
      </w:r>
    </w:p>
    <w:p w:rsidR="003B0D09" w:rsidRPr="003B0D09" w:rsidRDefault="003B0D09" w:rsidP="003B0D09">
      <w:pPr>
        <w:spacing w:after="0" w:line="240" w:lineRule="auto"/>
        <w:ind w:left="3969"/>
        <w:rPr>
          <w:i/>
          <w:sz w:val="18"/>
          <w:szCs w:val="18"/>
        </w:rPr>
      </w:pPr>
    </w:p>
    <w:p w:rsidR="007178B4" w:rsidRPr="003B0D09" w:rsidRDefault="007178B4">
      <w:pPr>
        <w:rPr>
          <w:i/>
          <w:sz w:val="18"/>
          <w:szCs w:val="18"/>
        </w:rPr>
      </w:pPr>
    </w:p>
    <w:p w:rsidR="007178B4" w:rsidRPr="003B0D09" w:rsidRDefault="007178B4" w:rsidP="004339F3">
      <w:pPr>
        <w:spacing w:after="0" w:line="240" w:lineRule="auto"/>
        <w:ind w:left="3969"/>
        <w:rPr>
          <w:i/>
          <w:sz w:val="18"/>
          <w:szCs w:val="18"/>
        </w:rPr>
      </w:pPr>
    </w:p>
    <w:p w:rsidR="003B0D09" w:rsidRPr="003B0D09" w:rsidRDefault="007178B4" w:rsidP="003B0D09">
      <w:pPr>
        <w:rPr>
          <w:rStyle w:val="a5"/>
          <w:i/>
          <w:sz w:val="24"/>
          <w:szCs w:val="24"/>
          <w:lang w:val="uk-UA"/>
        </w:rPr>
      </w:pPr>
      <w:r w:rsidRPr="003B0D09">
        <w:rPr>
          <w:i/>
          <w:sz w:val="18"/>
          <w:szCs w:val="18"/>
        </w:rPr>
        <w:br w:type="page"/>
      </w:r>
      <w:bookmarkStart w:id="5" w:name="Зміст"/>
      <w:r w:rsidR="003B0D09" w:rsidRPr="003B0D09">
        <w:rPr>
          <w:i/>
          <w:sz w:val="24"/>
          <w:szCs w:val="24"/>
        </w:rPr>
        <w:lastRenderedPageBreak/>
        <w:t>Змі</w:t>
      </w:r>
      <w:r w:rsidR="003B0D09">
        <w:rPr>
          <w:i/>
          <w:sz w:val="24"/>
          <w:szCs w:val="24"/>
        </w:rPr>
        <w:fldChar w:fldCharType="begin"/>
      </w:r>
      <w:r w:rsidR="003B0D09">
        <w:rPr>
          <w:i/>
          <w:sz w:val="24"/>
          <w:szCs w:val="24"/>
        </w:rPr>
        <w:instrText>HYPERLINK  \l "Докладніше"</w:instrText>
      </w:r>
      <w:r w:rsidR="003B0D09">
        <w:rPr>
          <w:i/>
          <w:sz w:val="24"/>
          <w:szCs w:val="24"/>
        </w:rPr>
      </w:r>
      <w:r w:rsidR="003B0D09">
        <w:rPr>
          <w:i/>
          <w:sz w:val="24"/>
          <w:szCs w:val="24"/>
        </w:rPr>
        <w:fldChar w:fldCharType="separate"/>
      </w:r>
      <w:proofErr w:type="gramStart"/>
      <w:r w:rsidR="003B0D09">
        <w:rPr>
          <w:rStyle w:val="a5"/>
          <w:i/>
          <w:sz w:val="24"/>
          <w:szCs w:val="24"/>
          <w:lang w:val="uk-UA"/>
        </w:rPr>
        <w:t>ст</w:t>
      </w:r>
      <w:proofErr w:type="gramEnd"/>
    </w:p>
    <w:bookmarkEnd w:id="5"/>
    <w:p w:rsidR="003B0D09" w:rsidRPr="003B0D09" w:rsidRDefault="003B0D09" w:rsidP="003B0D09">
      <w:pPr>
        <w:spacing w:after="0" w:line="240" w:lineRule="auto"/>
        <w:ind w:left="3969"/>
        <w:rPr>
          <w:i/>
          <w:sz w:val="24"/>
          <w:szCs w:val="24"/>
        </w:rPr>
      </w:pPr>
      <w:r w:rsidRPr="003B0D09">
        <w:rPr>
          <w:rStyle w:val="a5"/>
          <w:i/>
          <w:sz w:val="24"/>
          <w:szCs w:val="24"/>
        </w:rPr>
        <w:t>1.</w:t>
      </w:r>
      <w:r w:rsidRPr="003B0D09">
        <w:rPr>
          <w:rStyle w:val="a5"/>
          <w:i/>
          <w:sz w:val="24"/>
          <w:szCs w:val="24"/>
        </w:rPr>
        <w:tab/>
        <w:t>Докладніше</w:t>
      </w:r>
      <w:r>
        <w:rPr>
          <w:i/>
          <w:sz w:val="24"/>
          <w:szCs w:val="24"/>
        </w:rPr>
        <w:fldChar w:fldCharType="end"/>
      </w:r>
    </w:p>
    <w:p w:rsidR="003B0D09" w:rsidRPr="003B0D09" w:rsidRDefault="003B0D09" w:rsidP="003B0D09">
      <w:pPr>
        <w:spacing w:after="0" w:line="240" w:lineRule="auto"/>
        <w:ind w:left="3969"/>
        <w:rPr>
          <w:i/>
          <w:sz w:val="24"/>
          <w:szCs w:val="24"/>
        </w:rPr>
      </w:pPr>
      <w:r w:rsidRPr="003B0D09">
        <w:rPr>
          <w:i/>
          <w:sz w:val="24"/>
          <w:szCs w:val="24"/>
        </w:rPr>
        <w:t>2.</w:t>
      </w:r>
      <w:r w:rsidRPr="003B0D09">
        <w:rPr>
          <w:i/>
          <w:sz w:val="24"/>
          <w:szCs w:val="24"/>
        </w:rPr>
        <w:tab/>
      </w:r>
      <w:hyperlink w:anchor="Впровадження" w:history="1">
        <w:r w:rsidRPr="003B0D09">
          <w:rPr>
            <w:rStyle w:val="a5"/>
            <w:i/>
            <w:sz w:val="24"/>
            <w:szCs w:val="24"/>
          </w:rPr>
          <w:t>Впровадження механізмів</w:t>
        </w:r>
        <w:proofErr w:type="gramStart"/>
        <w:r w:rsidRPr="003B0D09">
          <w:rPr>
            <w:rStyle w:val="a5"/>
            <w:i/>
            <w:sz w:val="24"/>
            <w:szCs w:val="24"/>
          </w:rPr>
          <w:t xml:space="preserve"> К</w:t>
        </w:r>
        <w:proofErr w:type="gramEnd"/>
        <w:r w:rsidRPr="003B0D09">
          <w:rPr>
            <w:rStyle w:val="a5"/>
            <w:i/>
            <w:sz w:val="24"/>
            <w:szCs w:val="24"/>
          </w:rPr>
          <w:t>іотського протоколу в Україні</w:t>
        </w:r>
      </w:hyperlink>
    </w:p>
    <w:p w:rsidR="003B0D09" w:rsidRPr="003B0D09" w:rsidRDefault="003B0D09" w:rsidP="003B0D09">
      <w:pPr>
        <w:spacing w:after="0" w:line="240" w:lineRule="auto"/>
        <w:ind w:left="3969"/>
        <w:rPr>
          <w:i/>
          <w:sz w:val="24"/>
          <w:szCs w:val="24"/>
        </w:rPr>
      </w:pPr>
    </w:p>
    <w:p w:rsidR="003B0D09" w:rsidRPr="003B0D09" w:rsidRDefault="003B0D09" w:rsidP="003B0D09">
      <w:pPr>
        <w:spacing w:after="0" w:line="240" w:lineRule="auto"/>
        <w:ind w:left="3969"/>
        <w:rPr>
          <w:i/>
          <w:sz w:val="24"/>
          <w:szCs w:val="24"/>
        </w:rPr>
      </w:pPr>
      <w:r w:rsidRPr="003B0D09">
        <w:rPr>
          <w:i/>
          <w:sz w:val="24"/>
          <w:szCs w:val="24"/>
        </w:rPr>
        <w:t>1.</w:t>
      </w:r>
      <w:r w:rsidRPr="003B0D09">
        <w:rPr>
          <w:i/>
          <w:sz w:val="24"/>
          <w:szCs w:val="24"/>
        </w:rPr>
        <w:tab/>
      </w:r>
      <w:bookmarkStart w:id="6" w:name="Докладніше"/>
      <w:r w:rsidRPr="003B0D09">
        <w:rPr>
          <w:i/>
          <w:sz w:val="24"/>
          <w:szCs w:val="24"/>
        </w:rPr>
        <w:t>Докладніше</w:t>
      </w:r>
      <w:bookmarkEnd w:id="6"/>
    </w:p>
    <w:p w:rsidR="003B0D09" w:rsidRPr="003B0D09" w:rsidRDefault="003B0D09" w:rsidP="003B0D09">
      <w:pPr>
        <w:spacing w:after="0" w:line="240" w:lineRule="auto"/>
        <w:ind w:left="3969"/>
        <w:rPr>
          <w:i/>
          <w:sz w:val="24"/>
          <w:szCs w:val="24"/>
        </w:rPr>
      </w:pPr>
      <w:r w:rsidRPr="003B0D09">
        <w:rPr>
          <w:i/>
          <w:sz w:val="24"/>
          <w:szCs w:val="24"/>
        </w:rPr>
        <w:t xml:space="preserve">Для вступу в дію протоколу, цей документ зобов'язані були ратифікувати країни, які відповідають за щонайменше 55% викидів парникових газів. </w:t>
      </w:r>
      <w:proofErr w:type="gramStart"/>
      <w:r w:rsidRPr="003B0D09">
        <w:rPr>
          <w:i/>
          <w:sz w:val="24"/>
          <w:szCs w:val="24"/>
        </w:rPr>
        <w:t>П</w:t>
      </w:r>
      <w:proofErr w:type="gramEnd"/>
      <w:r w:rsidRPr="003B0D09">
        <w:rPr>
          <w:i/>
          <w:sz w:val="24"/>
          <w:szCs w:val="24"/>
        </w:rPr>
        <w:t xml:space="preserve">ісля ратифікації протоколу Росією в кінці 2004 року (17,4% світових викидів парникових газів), зазначений документ набув чинності 16 лютого 2005 року. Частка викидів парникових газів країн, які приєдналися до протоколу, становить в цей час 62%. Проте, країни, що ратифікували протокол, не мають особливих стимулів його виконувати, допоки США (25% </w:t>
      </w:r>
      <w:proofErr w:type="gramStart"/>
      <w:r w:rsidRPr="003B0D09">
        <w:rPr>
          <w:i/>
          <w:sz w:val="24"/>
          <w:szCs w:val="24"/>
        </w:rPr>
        <w:t>св</w:t>
      </w:r>
      <w:proofErr w:type="gramEnd"/>
      <w:r w:rsidRPr="003B0D09">
        <w:rPr>
          <w:i/>
          <w:sz w:val="24"/>
          <w:szCs w:val="24"/>
        </w:rPr>
        <w:t>ітових викидів СО2) не ратифікували зазначений документ. Україна ратифікувала</w:t>
      </w:r>
      <w:proofErr w:type="gramStart"/>
      <w:r w:rsidRPr="003B0D09">
        <w:rPr>
          <w:i/>
          <w:sz w:val="24"/>
          <w:szCs w:val="24"/>
        </w:rPr>
        <w:t xml:space="preserve"> К</w:t>
      </w:r>
      <w:proofErr w:type="gramEnd"/>
      <w:r w:rsidRPr="003B0D09">
        <w:rPr>
          <w:i/>
          <w:sz w:val="24"/>
          <w:szCs w:val="24"/>
        </w:rPr>
        <w:t>іотський протокол 4 лютого 2004 (повідомлення про ратифікацію подане 12 квітня 2004 Status of ratification).</w:t>
      </w:r>
    </w:p>
    <w:p w:rsidR="003B0D09" w:rsidRPr="003B0D09" w:rsidRDefault="003B0D09" w:rsidP="003B0D09">
      <w:pPr>
        <w:spacing w:after="0" w:line="240" w:lineRule="auto"/>
        <w:ind w:left="3969"/>
        <w:rPr>
          <w:i/>
          <w:sz w:val="24"/>
          <w:szCs w:val="24"/>
        </w:rPr>
      </w:pPr>
      <w:r w:rsidRPr="003B0D09">
        <w:rPr>
          <w:i/>
          <w:sz w:val="24"/>
          <w:szCs w:val="24"/>
        </w:rPr>
        <w:t xml:space="preserve">Зменшення викидів кожна </w:t>
      </w:r>
      <w:proofErr w:type="gramStart"/>
      <w:r w:rsidRPr="003B0D09">
        <w:rPr>
          <w:i/>
          <w:sz w:val="24"/>
          <w:szCs w:val="24"/>
        </w:rPr>
        <w:t>країна</w:t>
      </w:r>
      <w:proofErr w:type="gramEnd"/>
      <w:r w:rsidRPr="003B0D09">
        <w:rPr>
          <w:i/>
          <w:sz w:val="24"/>
          <w:szCs w:val="24"/>
        </w:rPr>
        <w:t xml:space="preserve"> може здійснювати за допомогою збільшення ефективності виробництва, зменшення обсягів виробництва, раціональнішого використання енергоресурсів, а також виконання проектів, які призводять до зменшення викидів парникових газів у інших країнах. Кіотським протоколом передбачаються гнучкі механізми щодо зменшення викидів парникових газів шляхом закупі</w:t>
      </w:r>
      <w:proofErr w:type="gramStart"/>
      <w:r w:rsidRPr="003B0D09">
        <w:rPr>
          <w:i/>
          <w:sz w:val="24"/>
          <w:szCs w:val="24"/>
        </w:rPr>
        <w:t>вл</w:t>
      </w:r>
      <w:proofErr w:type="gramEnd"/>
      <w:r w:rsidRPr="003B0D09">
        <w:rPr>
          <w:i/>
          <w:sz w:val="24"/>
          <w:szCs w:val="24"/>
        </w:rPr>
        <w:t>і відповідних сертифікатів за кордоном:</w:t>
      </w:r>
    </w:p>
    <w:p w:rsidR="003B0D09" w:rsidRPr="003B0D09" w:rsidRDefault="003B0D09" w:rsidP="003B0D09">
      <w:pPr>
        <w:spacing w:after="0" w:line="240" w:lineRule="auto"/>
        <w:ind w:left="3969"/>
        <w:rPr>
          <w:i/>
          <w:sz w:val="24"/>
          <w:szCs w:val="24"/>
        </w:rPr>
      </w:pPr>
      <w:r w:rsidRPr="003B0D09">
        <w:rPr>
          <w:i/>
          <w:sz w:val="24"/>
          <w:szCs w:val="24"/>
        </w:rPr>
        <w:t>1.</w:t>
      </w:r>
      <w:r w:rsidRPr="003B0D09">
        <w:rPr>
          <w:i/>
          <w:sz w:val="24"/>
          <w:szCs w:val="24"/>
        </w:rPr>
        <w:tab/>
        <w:t>Механізм чистого розвитку (англ. Clean Development Mechanism, CDM) — передбачає співпрацю між країною, яка розвивається, та індустрі</w:t>
      </w:r>
      <w:proofErr w:type="gramStart"/>
      <w:r w:rsidRPr="003B0D09">
        <w:rPr>
          <w:i/>
          <w:sz w:val="24"/>
          <w:szCs w:val="24"/>
        </w:rPr>
        <w:t>ал</w:t>
      </w:r>
      <w:proofErr w:type="gramEnd"/>
      <w:r w:rsidRPr="003B0D09">
        <w:rPr>
          <w:i/>
          <w:sz w:val="24"/>
          <w:szCs w:val="24"/>
        </w:rPr>
        <w:t>ізованою країною;</w:t>
      </w:r>
    </w:p>
    <w:p w:rsidR="003B0D09" w:rsidRPr="003B0D09" w:rsidRDefault="003B0D09" w:rsidP="003B0D09">
      <w:pPr>
        <w:spacing w:after="0" w:line="240" w:lineRule="auto"/>
        <w:ind w:left="3969"/>
        <w:rPr>
          <w:i/>
          <w:sz w:val="24"/>
          <w:szCs w:val="24"/>
        </w:rPr>
      </w:pPr>
      <w:r w:rsidRPr="003B0D09">
        <w:rPr>
          <w:i/>
          <w:sz w:val="24"/>
          <w:szCs w:val="24"/>
        </w:rPr>
        <w:t>2.</w:t>
      </w:r>
      <w:r w:rsidRPr="003B0D09">
        <w:rPr>
          <w:i/>
          <w:sz w:val="24"/>
          <w:szCs w:val="24"/>
        </w:rPr>
        <w:tab/>
        <w:t xml:space="preserve">Торгівля викидами (англ. International Emission Trading, IET) — передбачає прямий продаж викидів </w:t>
      </w:r>
      <w:proofErr w:type="gramStart"/>
      <w:r w:rsidRPr="003B0D09">
        <w:rPr>
          <w:i/>
          <w:sz w:val="24"/>
          <w:szCs w:val="24"/>
        </w:rPr>
        <w:t>в</w:t>
      </w:r>
      <w:proofErr w:type="gramEnd"/>
      <w:r w:rsidRPr="003B0D09">
        <w:rPr>
          <w:i/>
          <w:sz w:val="24"/>
          <w:szCs w:val="24"/>
        </w:rPr>
        <w:t>ід однієї індустріалізованої країни до іншої;</w:t>
      </w:r>
    </w:p>
    <w:p w:rsidR="003B0D09" w:rsidRPr="003B0D09" w:rsidRDefault="003B0D09" w:rsidP="003B0D09">
      <w:pPr>
        <w:spacing w:after="0" w:line="240" w:lineRule="auto"/>
        <w:ind w:left="3969"/>
        <w:rPr>
          <w:i/>
          <w:sz w:val="24"/>
          <w:szCs w:val="24"/>
        </w:rPr>
      </w:pPr>
      <w:r w:rsidRPr="003B0D09">
        <w:rPr>
          <w:i/>
          <w:sz w:val="24"/>
          <w:szCs w:val="24"/>
        </w:rPr>
        <w:t>3.</w:t>
      </w:r>
      <w:r w:rsidRPr="003B0D09">
        <w:rPr>
          <w:i/>
          <w:sz w:val="24"/>
          <w:szCs w:val="24"/>
        </w:rPr>
        <w:tab/>
        <w:t xml:space="preserve">Спільне впровадження (англ. Joint Implementation, JI) — передбачає співпрацю між двома індустріалізованими </w:t>
      </w:r>
      <w:proofErr w:type="gramStart"/>
      <w:r w:rsidRPr="003B0D09">
        <w:rPr>
          <w:i/>
          <w:sz w:val="24"/>
          <w:szCs w:val="24"/>
        </w:rPr>
        <w:t>країнами</w:t>
      </w:r>
      <w:proofErr w:type="gramEnd"/>
      <w:r w:rsidRPr="003B0D09">
        <w:rPr>
          <w:i/>
          <w:sz w:val="24"/>
          <w:szCs w:val="24"/>
        </w:rPr>
        <w:t>.</w:t>
      </w:r>
    </w:p>
    <w:p w:rsidR="003B0D09" w:rsidRPr="003B0D09" w:rsidRDefault="003B0D09" w:rsidP="003B0D09">
      <w:pPr>
        <w:spacing w:after="0" w:line="240" w:lineRule="auto"/>
        <w:ind w:left="3969"/>
        <w:rPr>
          <w:i/>
          <w:sz w:val="24"/>
          <w:szCs w:val="24"/>
        </w:rPr>
      </w:pPr>
      <w:r w:rsidRPr="003B0D09">
        <w:rPr>
          <w:i/>
          <w:sz w:val="24"/>
          <w:szCs w:val="24"/>
        </w:rPr>
        <w:t>Для врегулювання викидів парникових газів, країни</w:t>
      </w:r>
      <w:proofErr w:type="gramStart"/>
      <w:r w:rsidRPr="003B0D09">
        <w:rPr>
          <w:i/>
          <w:sz w:val="24"/>
          <w:szCs w:val="24"/>
        </w:rPr>
        <w:t xml:space="preserve"> ЄС</w:t>
      </w:r>
      <w:proofErr w:type="gramEnd"/>
      <w:r w:rsidRPr="003B0D09">
        <w:rPr>
          <w:i/>
          <w:sz w:val="24"/>
          <w:szCs w:val="24"/>
        </w:rPr>
        <w:t xml:space="preserve"> роблять ставку на внутрішню торгівлю сертифікатами викидів, які, «де факто», репрезентують право на забруднення навколишнього середовища парниковими газами. Починаючи з 2005, кожне європейське промислове </w:t>
      </w:r>
      <w:proofErr w:type="gramStart"/>
      <w:r w:rsidRPr="003B0D09">
        <w:rPr>
          <w:i/>
          <w:sz w:val="24"/>
          <w:szCs w:val="24"/>
        </w:rPr>
        <w:t>п</w:t>
      </w:r>
      <w:proofErr w:type="gramEnd"/>
      <w:r w:rsidRPr="003B0D09">
        <w:rPr>
          <w:i/>
          <w:sz w:val="24"/>
          <w:szCs w:val="24"/>
        </w:rPr>
        <w:t>ідприємство, яке відповідає вимогам Схеми Торгівлі Викидами EU ETS отримує певну кількість таких сертифікатів. Якщо деякі підприємства в стані зменшувати шкідливі викиди, наприклад, шляхом технологічних новацій, то вони зможуть продавати залишкові сертифікати іншим фірмам, які перевищують норми наданого ї</w:t>
      </w:r>
      <w:proofErr w:type="gramStart"/>
      <w:r w:rsidRPr="003B0D09">
        <w:rPr>
          <w:i/>
          <w:sz w:val="24"/>
          <w:szCs w:val="24"/>
        </w:rPr>
        <w:t>м</w:t>
      </w:r>
      <w:proofErr w:type="gramEnd"/>
      <w:r w:rsidRPr="003B0D09">
        <w:rPr>
          <w:i/>
          <w:sz w:val="24"/>
          <w:szCs w:val="24"/>
        </w:rPr>
        <w:t xml:space="preserve"> ліміту. Аналогічно, невикористані внаслідок зниження </w:t>
      </w:r>
      <w:r w:rsidRPr="003B0D09">
        <w:rPr>
          <w:i/>
          <w:sz w:val="24"/>
          <w:szCs w:val="24"/>
        </w:rPr>
        <w:lastRenderedPageBreak/>
        <w:t xml:space="preserve">виробництва сертифікати, можуть </w:t>
      </w:r>
      <w:proofErr w:type="gramStart"/>
      <w:r w:rsidRPr="003B0D09">
        <w:rPr>
          <w:i/>
          <w:sz w:val="24"/>
          <w:szCs w:val="24"/>
        </w:rPr>
        <w:t>бути</w:t>
      </w:r>
      <w:proofErr w:type="gramEnd"/>
      <w:r w:rsidRPr="003B0D09">
        <w:rPr>
          <w:i/>
          <w:sz w:val="24"/>
          <w:szCs w:val="24"/>
        </w:rPr>
        <w:t xml:space="preserve"> продані. Таким чином, ініціюється національний, а згодом, і європейський ринок сертифікатів, який з точки зору економічної теорії є одним із найкращих методів регулювання ринку.</w:t>
      </w:r>
    </w:p>
    <w:p w:rsidR="003B0D09" w:rsidRPr="003B0D09" w:rsidRDefault="003B0D09" w:rsidP="003B0D09">
      <w:pPr>
        <w:spacing w:after="0" w:line="240" w:lineRule="auto"/>
        <w:ind w:left="3969"/>
        <w:rPr>
          <w:i/>
          <w:sz w:val="24"/>
          <w:szCs w:val="24"/>
        </w:rPr>
      </w:pPr>
      <w:r w:rsidRPr="003B0D09">
        <w:rPr>
          <w:i/>
          <w:sz w:val="24"/>
          <w:szCs w:val="24"/>
        </w:rPr>
        <w:t>Таким чином існує можливість для налагодження міжнародної співпраці у сфері скорочення викидів СО</w:t>
      </w:r>
      <w:proofErr w:type="gramStart"/>
      <w:r w:rsidRPr="003B0D09">
        <w:rPr>
          <w:i/>
          <w:sz w:val="24"/>
          <w:szCs w:val="24"/>
        </w:rPr>
        <w:t>2</w:t>
      </w:r>
      <w:proofErr w:type="gramEnd"/>
      <w:r w:rsidRPr="003B0D09">
        <w:rPr>
          <w:i/>
          <w:sz w:val="24"/>
          <w:szCs w:val="24"/>
        </w:rPr>
        <w:t xml:space="preserve">. </w:t>
      </w:r>
      <w:proofErr w:type="gramStart"/>
      <w:r w:rsidRPr="003B0D09">
        <w:rPr>
          <w:i/>
          <w:sz w:val="24"/>
          <w:szCs w:val="24"/>
        </w:rPr>
        <w:t>П</w:t>
      </w:r>
      <w:proofErr w:type="gramEnd"/>
      <w:r w:rsidRPr="003B0D09">
        <w:rPr>
          <w:i/>
          <w:sz w:val="24"/>
          <w:szCs w:val="24"/>
        </w:rPr>
        <w:t xml:space="preserve">ідставою для цього є можливість купівлі країнами одиниць викидів СО2 в інших державах. Як відомо, для встановлення базового рівня викидів парникових газів для більшості країн було обрано 1990 р. З урахуванням трансформаційних процесів </w:t>
      </w:r>
      <w:proofErr w:type="gramStart"/>
      <w:r w:rsidRPr="003B0D09">
        <w:rPr>
          <w:i/>
          <w:sz w:val="24"/>
          <w:szCs w:val="24"/>
        </w:rPr>
        <w:t>в</w:t>
      </w:r>
      <w:proofErr w:type="gramEnd"/>
      <w:r w:rsidRPr="003B0D09">
        <w:rPr>
          <w:i/>
          <w:sz w:val="24"/>
          <w:szCs w:val="24"/>
        </w:rPr>
        <w:t xml:space="preserve"> економіці України кількість викидів СО2 вітчизняною промисловістю за період 1990–2004 рр. суттєво скоротилися. У цьому зв'язку, Україна може продавати свої одиниці викидів іншим країнам в рамках механізму торгі</w:t>
      </w:r>
      <w:proofErr w:type="gramStart"/>
      <w:r w:rsidRPr="003B0D09">
        <w:rPr>
          <w:i/>
          <w:sz w:val="24"/>
          <w:szCs w:val="24"/>
        </w:rPr>
        <w:t>вл</w:t>
      </w:r>
      <w:proofErr w:type="gramEnd"/>
      <w:r w:rsidRPr="003B0D09">
        <w:rPr>
          <w:i/>
          <w:sz w:val="24"/>
          <w:szCs w:val="24"/>
        </w:rPr>
        <w:t xml:space="preserve">і викидами. Підприємства, зокрема учасники EU ETS, мають можливість придбати одиниці скорочень викидів </w:t>
      </w:r>
      <w:proofErr w:type="gramStart"/>
      <w:r w:rsidRPr="003B0D09">
        <w:rPr>
          <w:i/>
          <w:sz w:val="24"/>
          <w:szCs w:val="24"/>
        </w:rPr>
        <w:t>в</w:t>
      </w:r>
      <w:proofErr w:type="gramEnd"/>
      <w:r w:rsidRPr="003B0D09">
        <w:rPr>
          <w:i/>
          <w:sz w:val="24"/>
          <w:szCs w:val="24"/>
        </w:rPr>
        <w:t>ід механізму спільного впровадження.</w:t>
      </w:r>
    </w:p>
    <w:p w:rsidR="003B0D09" w:rsidRPr="003B0D09" w:rsidRDefault="003B0D09" w:rsidP="003B0D09">
      <w:pPr>
        <w:spacing w:after="0" w:line="240" w:lineRule="auto"/>
        <w:ind w:left="3969"/>
        <w:rPr>
          <w:i/>
          <w:sz w:val="24"/>
          <w:szCs w:val="24"/>
        </w:rPr>
      </w:pPr>
      <w:r w:rsidRPr="003B0D09">
        <w:rPr>
          <w:i/>
          <w:sz w:val="24"/>
          <w:szCs w:val="24"/>
        </w:rPr>
        <w:t>Незалежно від</w:t>
      </w:r>
      <w:proofErr w:type="gramStart"/>
      <w:r w:rsidRPr="003B0D09">
        <w:rPr>
          <w:i/>
          <w:sz w:val="24"/>
          <w:szCs w:val="24"/>
        </w:rPr>
        <w:t xml:space="preserve"> К</w:t>
      </w:r>
      <w:proofErr w:type="gramEnd"/>
      <w:r w:rsidRPr="003B0D09">
        <w:rPr>
          <w:i/>
          <w:sz w:val="24"/>
          <w:szCs w:val="24"/>
        </w:rPr>
        <w:t>іотського протоколу існує також європейське законодавство в галузі захисту якості повітря, зміни клімату та озонового шару. Відповідно до постанови Європейської Комісії (№ 2037/2000) щодо захисту навколишнього середовища і, зокрема, озонового шару країни-члени</w:t>
      </w:r>
      <w:proofErr w:type="gramStart"/>
      <w:r w:rsidRPr="003B0D09">
        <w:rPr>
          <w:i/>
          <w:sz w:val="24"/>
          <w:szCs w:val="24"/>
        </w:rPr>
        <w:t xml:space="preserve"> ЄС</w:t>
      </w:r>
      <w:proofErr w:type="gramEnd"/>
      <w:r w:rsidRPr="003B0D09">
        <w:rPr>
          <w:i/>
          <w:sz w:val="24"/>
          <w:szCs w:val="24"/>
        </w:rPr>
        <w:t xml:space="preserve"> повинні інформувати про вжиті заходи стосовно повторного використання («Recycling»), оновлення та знищення шкідливих речовин, типу фторхлорвуглеводневих (ФХВВ) та інших газів з подібним негативним впливом на озон. На сьогоднішній день, як і було погоджено Монреальским протоколом 1987 року, замість ФХВВ використовуються фторовуглеводневі гази (ФВВ), які не впливають на озон в атмосфері. Але за рахунок цього вирішується тільки питання озонових ді</w:t>
      </w:r>
      <w:proofErr w:type="gramStart"/>
      <w:r w:rsidRPr="003B0D09">
        <w:rPr>
          <w:i/>
          <w:sz w:val="24"/>
          <w:szCs w:val="24"/>
        </w:rPr>
        <w:t>р</w:t>
      </w:r>
      <w:proofErr w:type="gramEnd"/>
      <w:r w:rsidRPr="003B0D09">
        <w:rPr>
          <w:i/>
          <w:sz w:val="24"/>
          <w:szCs w:val="24"/>
        </w:rPr>
        <w:t>, а проблема парникового ефекту залишається.</w:t>
      </w:r>
    </w:p>
    <w:p w:rsidR="003B0D09" w:rsidRPr="003B0D09" w:rsidRDefault="003B0D09" w:rsidP="003B0D09">
      <w:pPr>
        <w:spacing w:after="0" w:line="240" w:lineRule="auto"/>
        <w:ind w:left="3969"/>
        <w:rPr>
          <w:i/>
          <w:sz w:val="24"/>
          <w:szCs w:val="24"/>
        </w:rPr>
      </w:pPr>
    </w:p>
    <w:p w:rsidR="003B0D09" w:rsidRPr="003B0D09" w:rsidRDefault="003B0D09" w:rsidP="003B0D09">
      <w:pPr>
        <w:spacing w:after="0" w:line="240" w:lineRule="auto"/>
        <w:ind w:left="3969"/>
        <w:rPr>
          <w:i/>
          <w:sz w:val="24"/>
          <w:szCs w:val="24"/>
        </w:rPr>
      </w:pPr>
      <w:r w:rsidRPr="003B0D09">
        <w:rPr>
          <w:i/>
          <w:sz w:val="24"/>
          <w:szCs w:val="24"/>
        </w:rPr>
        <w:t>2</w:t>
      </w:r>
      <w:bookmarkStart w:id="7" w:name="Впровадження"/>
      <w:r w:rsidRPr="003B0D09">
        <w:rPr>
          <w:i/>
          <w:sz w:val="24"/>
          <w:szCs w:val="24"/>
        </w:rPr>
        <w:t>.</w:t>
      </w:r>
      <w:r w:rsidRPr="003B0D09">
        <w:rPr>
          <w:i/>
          <w:sz w:val="24"/>
          <w:szCs w:val="24"/>
        </w:rPr>
        <w:tab/>
        <w:t>Впровадження механізмів</w:t>
      </w:r>
      <w:proofErr w:type="gramStart"/>
      <w:r w:rsidRPr="003B0D09">
        <w:rPr>
          <w:i/>
          <w:sz w:val="24"/>
          <w:szCs w:val="24"/>
        </w:rPr>
        <w:t xml:space="preserve"> К</w:t>
      </w:r>
      <w:proofErr w:type="gramEnd"/>
      <w:r w:rsidRPr="003B0D09">
        <w:rPr>
          <w:i/>
          <w:sz w:val="24"/>
          <w:szCs w:val="24"/>
        </w:rPr>
        <w:t>іотського протоколу в Україні</w:t>
      </w:r>
      <w:bookmarkEnd w:id="7"/>
    </w:p>
    <w:p w:rsidR="007178B4" w:rsidRPr="003B0D09" w:rsidRDefault="003B0D09" w:rsidP="003B0D09">
      <w:pPr>
        <w:spacing w:after="0" w:line="240" w:lineRule="auto"/>
        <w:ind w:left="3969"/>
        <w:rPr>
          <w:i/>
          <w:sz w:val="24"/>
          <w:szCs w:val="24"/>
        </w:rPr>
      </w:pPr>
      <w:r w:rsidRPr="003B0D09">
        <w:rPr>
          <w:i/>
          <w:sz w:val="24"/>
          <w:szCs w:val="24"/>
        </w:rPr>
        <w:t>В Україні впровадження механізмів</w:t>
      </w:r>
      <w:proofErr w:type="gramStart"/>
      <w:r w:rsidRPr="003B0D09">
        <w:rPr>
          <w:i/>
          <w:sz w:val="24"/>
          <w:szCs w:val="24"/>
        </w:rPr>
        <w:t xml:space="preserve"> К</w:t>
      </w:r>
      <w:proofErr w:type="gramEnd"/>
      <w:r w:rsidRPr="003B0D09">
        <w:rPr>
          <w:i/>
          <w:sz w:val="24"/>
          <w:szCs w:val="24"/>
        </w:rPr>
        <w:t xml:space="preserve">іотського протоколу, у тому числі в частині реалізації проектів, спрямованих на охорону навколишнього природного середовища є метою Національного агентства екологічних інвестицій України. Проте діяльність уряду, за оцінкою громадських експертів, є однобічною, оскільки сконцентрована навколо двох </w:t>
      </w:r>
      <w:proofErr w:type="gramStart"/>
      <w:r w:rsidRPr="003B0D09">
        <w:rPr>
          <w:i/>
          <w:sz w:val="24"/>
          <w:szCs w:val="24"/>
        </w:rPr>
        <w:t>пр</w:t>
      </w:r>
      <w:proofErr w:type="gramEnd"/>
      <w:r w:rsidRPr="003B0D09">
        <w:rPr>
          <w:i/>
          <w:sz w:val="24"/>
          <w:szCs w:val="24"/>
        </w:rPr>
        <w:t>іоритетів: проекти спільного впровадження (спостерігається скоріше перешкоджання імплементації механізму за рахунок постійної зміни умов, правил і процедур розробки, підтримки і затвердження проектів спільного впровадження) та торгівля квотами (активне сприяння імплементації, проте без прозорості в питаннях, що стосуються використання на практиці кошті</w:t>
      </w:r>
      <w:proofErr w:type="gramStart"/>
      <w:r w:rsidRPr="003B0D09">
        <w:rPr>
          <w:i/>
          <w:sz w:val="24"/>
          <w:szCs w:val="24"/>
        </w:rPr>
        <w:t>в</w:t>
      </w:r>
      <w:proofErr w:type="gramEnd"/>
      <w:r w:rsidRPr="003B0D09">
        <w:rPr>
          <w:i/>
          <w:sz w:val="24"/>
          <w:szCs w:val="24"/>
        </w:rPr>
        <w:t>, які може забезпечити даний механізм).</w:t>
      </w:r>
    </w:p>
    <w:p w:rsidR="007178B4" w:rsidRPr="003B0D09" w:rsidRDefault="007178B4" w:rsidP="003B0D09">
      <w:pPr>
        <w:rPr>
          <w:i/>
          <w:sz w:val="18"/>
          <w:szCs w:val="18"/>
        </w:rPr>
      </w:pPr>
      <w:r w:rsidRPr="003B0D09">
        <w:rPr>
          <w:i/>
          <w:sz w:val="24"/>
          <w:szCs w:val="24"/>
        </w:rPr>
        <w:br w:type="page"/>
      </w:r>
    </w:p>
    <w:p w:rsidR="007178B4" w:rsidRPr="003B0D09" w:rsidRDefault="007178B4" w:rsidP="004339F3">
      <w:pPr>
        <w:spacing w:after="0" w:line="240" w:lineRule="auto"/>
        <w:ind w:left="3969"/>
        <w:rPr>
          <w:i/>
          <w:sz w:val="18"/>
          <w:szCs w:val="18"/>
        </w:rPr>
      </w:pPr>
    </w:p>
    <w:p w:rsidR="007178B4" w:rsidRPr="003B0D09" w:rsidRDefault="007178B4" w:rsidP="004339F3">
      <w:pPr>
        <w:spacing w:after="0" w:line="240" w:lineRule="auto"/>
        <w:ind w:left="3969"/>
        <w:rPr>
          <w:i/>
          <w:sz w:val="18"/>
          <w:szCs w:val="18"/>
        </w:rPr>
      </w:pPr>
    </w:p>
    <w:p w:rsidR="007178B4" w:rsidRPr="003B0D09" w:rsidRDefault="007178B4" w:rsidP="004339F3">
      <w:pPr>
        <w:spacing w:after="0" w:line="240" w:lineRule="auto"/>
        <w:ind w:left="3969"/>
        <w:rPr>
          <w:i/>
          <w:sz w:val="18"/>
          <w:szCs w:val="18"/>
        </w:rPr>
      </w:pPr>
    </w:p>
    <w:p w:rsidR="007178B4" w:rsidRPr="003B0D09" w:rsidRDefault="007178B4" w:rsidP="007178B4">
      <w:pPr>
        <w:spacing w:after="0" w:line="240" w:lineRule="auto"/>
        <w:rPr>
          <w:i/>
          <w:sz w:val="18"/>
          <w:szCs w:val="18"/>
        </w:rPr>
      </w:pPr>
      <w:bookmarkStart w:id="8" w:name="рус"/>
    </w:p>
    <w:p w:rsidR="003B0D09" w:rsidRPr="003B0D09" w:rsidRDefault="003B0D09" w:rsidP="003B0D09">
      <w:pPr>
        <w:ind w:left="1560" w:right="5498"/>
        <w:rPr>
          <w:i/>
          <w:sz w:val="18"/>
          <w:szCs w:val="18"/>
        </w:rPr>
      </w:pPr>
      <w:r>
        <w:rPr>
          <w:i/>
          <w:noProof/>
          <w:sz w:val="18"/>
          <w:szCs w:val="18"/>
          <w:lang w:eastAsia="ru-RU"/>
        </w:rPr>
        <w:pict>
          <v:shape id="_x0000_s1052" type="#_x0000_t202" style="position:absolute;left:0;text-align:left;margin-left:-46.6pt;margin-top:58.15pt;width:104.55pt;height:33.4pt;z-index:251691008;mso-height-percent:200;mso-height-percent:200;mso-width-relative:margin;mso-height-relative:margin">
            <v:textbox style="mso-next-textbox:#_x0000_s1052;mso-fit-shape-to-text:t">
              <w:txbxContent>
                <w:p w:rsidR="003B0D09" w:rsidRPr="00B6455D" w:rsidRDefault="003B0D09" w:rsidP="003B0D09">
                  <w:pPr>
                    <w:rPr>
                      <w:lang w:val="uk-UA"/>
                    </w:rPr>
                  </w:pPr>
                  <w:hyperlink w:anchor="Укр" w:history="1">
                    <w:r w:rsidRPr="003B0D09">
                      <w:rPr>
                        <w:rStyle w:val="a5"/>
                        <w:lang w:val="uk-UA"/>
                      </w:rPr>
                      <w:t>Українська</w:t>
                    </w:r>
                  </w:hyperlink>
                </w:p>
              </w:txbxContent>
            </v:textbox>
          </v:shape>
        </w:pict>
      </w:r>
      <w:r>
        <w:rPr>
          <w:i/>
          <w:noProof/>
          <w:sz w:val="18"/>
          <w:szCs w:val="18"/>
          <w:lang w:eastAsia="ru-RU"/>
        </w:rPr>
        <w:pict>
          <v:shape id="_x0000_s1051" type="#_x0000_t202" style="position:absolute;left:0;text-align:left;margin-left:-46.6pt;margin-top:24.05pt;width:104.55pt;height:33.4pt;z-index:251689984;mso-height-percent:200;mso-height-percent:200;mso-width-relative:margin;mso-height-relative:margin">
            <v:textbox style="mso-next-textbox:#_x0000_s1051;mso-fit-shape-to-text:t">
              <w:txbxContent>
                <w:p w:rsidR="003B0D09" w:rsidRPr="00B6455D" w:rsidRDefault="003B0D09" w:rsidP="003B0D09">
                  <w:hyperlink w:anchor="рус" w:history="1">
                    <w:r w:rsidRPr="003B0D09">
                      <w:rPr>
                        <w:rStyle w:val="a5"/>
                      </w:rPr>
                      <w:t>Русский</w:t>
                    </w:r>
                  </w:hyperlink>
                </w:p>
              </w:txbxContent>
            </v:textbox>
          </v:shape>
        </w:pict>
      </w:r>
      <w:r w:rsidRPr="00B6455D">
        <w:rPr>
          <w:i/>
          <w:noProof/>
          <w:sz w:val="18"/>
          <w:szCs w:val="18"/>
          <w:lang w:val="uk-UA"/>
        </w:rPr>
        <w:pict>
          <v:shape id="_x0000_s1050" type="#_x0000_t202" style="position:absolute;left:0;text-align:left;margin-left:-47.15pt;margin-top:-10.45pt;width:104.55pt;height:33.4pt;z-index:251688960;mso-height-percent:200;mso-height-percent:200;mso-width-relative:margin;mso-height-relative:margin">
            <v:textbox style="mso-next-textbox:#_x0000_s1050;mso-fit-shape-to-text:t">
              <w:txbxContent>
                <w:p w:rsidR="003B0D09" w:rsidRDefault="003B0D09" w:rsidP="003B0D09">
                  <w:hyperlink w:anchor="_top" w:history="1">
                    <w:r w:rsidRPr="003B0D09">
                      <w:rPr>
                        <w:rStyle w:val="a5"/>
                        <w:lang w:val="en-US"/>
                      </w:rPr>
                      <w:t>English</w:t>
                    </w:r>
                  </w:hyperlink>
                </w:p>
              </w:txbxContent>
            </v:textbox>
          </v:shape>
        </w:pict>
      </w:r>
      <w:r>
        <w:rPr>
          <w:i/>
          <w:noProof/>
          <w:sz w:val="18"/>
          <w:szCs w:val="18"/>
          <w:lang w:eastAsia="ru-RU"/>
        </w:rPr>
        <w:drawing>
          <wp:anchor distT="0" distB="0" distL="114300" distR="114300" simplePos="0" relativeHeight="251683840" behindDoc="0" locked="0" layoutInCell="1" allowOverlap="1">
            <wp:simplePos x="0" y="0"/>
            <wp:positionH relativeFrom="column">
              <wp:posOffset>5937250</wp:posOffset>
            </wp:positionH>
            <wp:positionV relativeFrom="paragraph">
              <wp:posOffset>-213360</wp:posOffset>
            </wp:positionV>
            <wp:extent cx="3887470" cy="3218180"/>
            <wp:effectExtent l="19050" t="0" r="0" b="0"/>
            <wp:wrapThrough wrapText="bothSides">
              <wp:wrapPolygon edited="0">
                <wp:start x="-106" y="0"/>
                <wp:lineTo x="-106" y="21481"/>
                <wp:lineTo x="21593" y="21481"/>
                <wp:lineTo x="21593" y="0"/>
                <wp:lineTo x="-106" y="0"/>
              </wp:wrapPolygon>
            </wp:wrapThrough>
            <wp:docPr id="4" name="Рисунок 1" descr="300px-Kyoto_Protocol_participation_map_2009.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0px-Kyoto_Protocol_participation_map_2009.png"/>
                    <pic:cNvPicPr/>
                  </pic:nvPicPr>
                  <pic:blipFill>
                    <a:blip r:embed="rId6" cstate="print"/>
                    <a:stretch>
                      <a:fillRect/>
                    </a:stretch>
                  </pic:blipFill>
                  <pic:spPr>
                    <a:xfrm>
                      <a:off x="0" y="0"/>
                      <a:ext cx="3887470" cy="3218180"/>
                    </a:xfrm>
                    <a:prstGeom prst="rect">
                      <a:avLst/>
                    </a:prstGeom>
                  </pic:spPr>
                </pic:pic>
              </a:graphicData>
            </a:graphic>
          </wp:anchor>
        </w:drawing>
      </w:r>
      <w:r>
        <w:rPr>
          <w:i/>
          <w:noProof/>
          <w:sz w:val="18"/>
          <w:szCs w:val="18"/>
          <w:lang w:eastAsia="ru-RU"/>
        </w:rPr>
        <w:pict>
          <v:rect id="_x0000_s1048" style="position:absolute;left:0;text-align:left;margin-left:-54.85pt;margin-top:-85.05pt;width:119.7pt;height:594.7pt;z-index:251686912;mso-position-horizontal-relative:text;mso-position-vertical-relative:text" fillcolor="white [3201]" strokecolor="#666 [1936]" strokeweight="1pt">
            <v:fill color2="#999 [1296]" focusposition="1" focussize="" focus="100%" type="gradient"/>
            <v:shadow on="t" type="perspective" color="#7f7f7f [1601]" opacity=".5" offset="1pt" offset2="-3pt"/>
          </v:rect>
        </w:pict>
      </w:r>
      <w:r w:rsidRPr="00B6455D">
        <w:rPr>
          <w:i/>
          <w:noProof/>
          <w:sz w:val="18"/>
          <w:szCs w:val="18"/>
          <w:lang w:val="uk-UA"/>
        </w:rPr>
        <w:pict>
          <v:shape id="_x0000_s1047" type="#_x0000_t202" style="position:absolute;left:0;text-align:left;margin-left:457.75pt;margin-top:-80.05pt;width:289.7pt;height:95.15pt;z-index:251685888;mso-width-percent:400;mso-height-percent:200;mso-position-horizontal-relative:text;mso-position-vertical-relative:text;mso-width-percent:400;mso-height-percent:200;mso-width-relative:margin;mso-height-relative:margin">
            <v:textbox style="mso-next-textbox:#_x0000_s1047;mso-fit-shape-to-text:t">
              <w:txbxContent>
                <w:p w:rsidR="003B0D09" w:rsidRPr="003B0D09" w:rsidRDefault="003C78B8" w:rsidP="003B0D09">
                  <w:pPr>
                    <w:rPr>
                      <w:sz w:val="40"/>
                      <w:szCs w:val="40"/>
                    </w:rPr>
                  </w:pPr>
                  <w:hyperlink w:anchor="Сод" w:history="1">
                    <w:r w:rsidR="003B0D09" w:rsidRPr="003C78B8">
                      <w:rPr>
                        <w:rStyle w:val="a5"/>
                        <w:i/>
                        <w:sz w:val="40"/>
                        <w:szCs w:val="40"/>
                        <w:lang w:val="uk-UA"/>
                      </w:rPr>
                      <w:t>Киотский протокол</w:t>
                    </w:r>
                  </w:hyperlink>
                </w:p>
              </w:txbxContent>
            </v:textbox>
          </v:shape>
        </w:pict>
      </w:r>
      <w:r w:rsidRPr="00515F32">
        <w:rPr>
          <w:noProof/>
          <w:lang w:val="uk-UA"/>
        </w:rPr>
        <w:pict>
          <v:shape id="_x0000_s1046" type="#_x0000_t202" style="position:absolute;left:0;text-align:left;margin-left:883.3pt;margin-top:-2.45pt;width:238.6pt;height:17.55pt;z-index:251684864;mso-position-horizontal-relative:text;mso-position-vertical-relative:text">
            <v:textbox style="mso-next-textbox:#_x0000_s1046">
              <w:txbxContent>
                <w:p w:rsidR="003B0D09" w:rsidRDefault="003B0D09" w:rsidP="003B0D09">
                  <w:r w:rsidRPr="007178B4">
                    <w:rPr>
                      <w:i/>
                      <w:sz w:val="18"/>
                      <w:szCs w:val="18"/>
                      <w:lang w:val="uk-UA"/>
                    </w:rPr>
                    <w:t>The Kyoto Protocol</w:t>
                  </w:r>
                </w:p>
              </w:txbxContent>
            </v:textbox>
          </v:shape>
        </w:pict>
      </w:r>
      <w:r>
        <w:rPr>
          <w:i/>
          <w:sz w:val="18"/>
          <w:szCs w:val="18"/>
          <w:lang w:val="uk-UA"/>
        </w:rPr>
        <w:t xml:space="preserve">                                                    </w:t>
      </w:r>
      <w:r w:rsidRPr="003B0D09">
        <w:rPr>
          <w:i/>
          <w:sz w:val="18"/>
          <w:szCs w:val="18"/>
          <w:lang w:val="uk-UA"/>
        </w:rPr>
        <w:t xml:space="preserve">Киотский протокол </w:t>
      </w:r>
      <w:bookmarkEnd w:id="8"/>
      <w:r w:rsidRPr="003B0D09">
        <w:rPr>
          <w:i/>
          <w:sz w:val="18"/>
          <w:szCs w:val="18"/>
          <w:lang w:val="uk-UA"/>
        </w:rPr>
        <w:t>— международное соглашение, принятое в Киото (Япония) в декабре 1997 года в дополнение к Рамочной конвенции ООН об изменении климата (РКИК). Оно обязывает развитые страны и страны с переходной экономикой сократить или стабилизировать выбросы парниковых газов.</w:t>
      </w:r>
    </w:p>
    <w:p w:rsidR="003B0D09" w:rsidRPr="003B0D09" w:rsidRDefault="003B0D09" w:rsidP="003B0D09">
      <w:pPr>
        <w:spacing w:after="0" w:line="240" w:lineRule="auto"/>
        <w:ind w:left="1560"/>
        <w:rPr>
          <w:i/>
          <w:sz w:val="18"/>
          <w:szCs w:val="18"/>
        </w:rPr>
      </w:pPr>
    </w:p>
    <w:p w:rsidR="003B0D09" w:rsidRPr="003B0D09" w:rsidRDefault="003B0D09" w:rsidP="003B0D09">
      <w:pPr>
        <w:spacing w:after="0" w:line="240" w:lineRule="auto"/>
        <w:ind w:left="3969"/>
        <w:rPr>
          <w:i/>
          <w:sz w:val="18"/>
          <w:szCs w:val="18"/>
        </w:rPr>
      </w:pPr>
    </w:p>
    <w:p w:rsidR="003B0D09" w:rsidRPr="003B0D09" w:rsidRDefault="003B0D09" w:rsidP="003B0D09">
      <w:pPr>
        <w:spacing w:after="0" w:line="240" w:lineRule="auto"/>
        <w:ind w:left="3969"/>
        <w:rPr>
          <w:i/>
          <w:sz w:val="18"/>
          <w:szCs w:val="18"/>
        </w:rPr>
      </w:pPr>
    </w:p>
    <w:p w:rsidR="003B0D09" w:rsidRPr="003B0D09" w:rsidRDefault="003B0D09" w:rsidP="003B0D09">
      <w:pPr>
        <w:spacing w:after="0" w:line="240" w:lineRule="auto"/>
        <w:ind w:left="3969"/>
        <w:rPr>
          <w:i/>
          <w:sz w:val="18"/>
          <w:szCs w:val="18"/>
        </w:rPr>
      </w:pPr>
      <w:r w:rsidRPr="003B0D09">
        <w:rPr>
          <w:i/>
          <w:sz w:val="18"/>
          <w:szCs w:val="18"/>
        </w:rPr>
        <w:t xml:space="preserve">                                                                                                                                                                                                                                                                                                                                                                                                   </w:t>
      </w:r>
      <w:r w:rsidRPr="004339F3">
        <w:rPr>
          <w:i/>
          <w:sz w:val="18"/>
          <w:szCs w:val="18"/>
          <w:lang w:val="uk-UA"/>
        </w:rPr>
        <w:t xml:space="preserve">  </w:t>
      </w:r>
      <w:r w:rsidRPr="003B0D09">
        <w:rPr>
          <w:i/>
          <w:sz w:val="18"/>
          <w:szCs w:val="18"/>
        </w:rPr>
        <w:t xml:space="preserve">                                                                                                                                                                                          </w:t>
      </w:r>
      <w:r w:rsidRPr="004339F3">
        <w:rPr>
          <w:i/>
          <w:sz w:val="18"/>
          <w:szCs w:val="18"/>
          <w:lang w:val="uk-UA"/>
        </w:rPr>
        <w:t xml:space="preserve"> </w:t>
      </w:r>
      <w:r w:rsidRPr="003B0D09">
        <w:rPr>
          <w:i/>
          <w:sz w:val="18"/>
          <w:szCs w:val="18"/>
        </w:rPr>
        <w:t xml:space="preserve">                   </w:t>
      </w:r>
    </w:p>
    <w:p w:rsidR="003B0D09" w:rsidRPr="003B0D09" w:rsidRDefault="003B0D09" w:rsidP="003B0D09">
      <w:pPr>
        <w:spacing w:after="0" w:line="240" w:lineRule="auto"/>
        <w:ind w:left="3969"/>
        <w:rPr>
          <w:i/>
          <w:sz w:val="18"/>
          <w:szCs w:val="18"/>
        </w:rPr>
      </w:pPr>
    </w:p>
    <w:p w:rsidR="003B0D09" w:rsidRPr="003B0D09" w:rsidRDefault="003B0D09" w:rsidP="003B0D09">
      <w:pPr>
        <w:spacing w:after="0" w:line="240" w:lineRule="auto"/>
        <w:ind w:left="3969"/>
        <w:rPr>
          <w:i/>
          <w:sz w:val="18"/>
          <w:szCs w:val="18"/>
        </w:rPr>
      </w:pPr>
      <w:r w:rsidRPr="003B0D09">
        <w:rPr>
          <w:i/>
          <w:sz w:val="18"/>
          <w:szCs w:val="18"/>
        </w:rPr>
        <w:t xml:space="preserve">                                                                                                                                                                                                                                                                                                   </w:t>
      </w:r>
    </w:p>
    <w:p w:rsidR="007178B4" w:rsidRDefault="003B0D09" w:rsidP="003B0D09">
      <w:pPr>
        <w:spacing w:after="0"/>
        <w:ind w:left="-1418"/>
        <w:rPr>
          <w:lang w:val="uk-UA"/>
        </w:rPr>
      </w:pPr>
      <w:r w:rsidRPr="003B0D09">
        <w:rPr>
          <w:i/>
          <w:noProof/>
          <w:sz w:val="18"/>
          <w:szCs w:val="18"/>
        </w:rPr>
        <w:pict>
          <v:shape id="_x0000_s1053" type="#_x0000_t202" style="position:absolute;left:0;text-align:left;margin-left:478.15pt;margin-top:124.2pt;width:290.1pt;height:216.95pt;z-index:251693056;mso-width-percent:400;mso-height-percent:200;mso-width-percent:400;mso-height-percent:200;mso-width-relative:margin;mso-height-relative:margin">
            <v:textbox style="mso-fit-shape-to-text:t">
              <w:txbxContent>
                <w:p w:rsidR="003B0D09" w:rsidRDefault="003B0D09" w:rsidP="003B0D09">
                  <w:r>
                    <w:t>Страны, которые подписали договор</w:t>
                  </w:r>
                </w:p>
                <w:p w:rsidR="003B0D09" w:rsidRDefault="003B0D09" w:rsidP="003B0D09">
                  <w:r>
                    <w:t>Страны, которые подписали, но не ратифицировали протокол (США)</w:t>
                  </w:r>
                </w:p>
                <w:p w:rsidR="003B0D09" w:rsidRDefault="003B0D09" w:rsidP="003B0D09">
                  <w:r>
                    <w:t xml:space="preserve">Входит </w:t>
                  </w:r>
                  <w:proofErr w:type="gramStart"/>
                  <w:r>
                    <w:t>в</w:t>
                  </w:r>
                  <w:proofErr w:type="gramEnd"/>
                  <w:r>
                    <w:t xml:space="preserve">: </w:t>
                  </w:r>
                  <w:proofErr w:type="gramStart"/>
                  <w:r>
                    <w:t>Рамочная</w:t>
                  </w:r>
                  <w:proofErr w:type="gramEnd"/>
                  <w:r>
                    <w:t xml:space="preserve"> конвенция ООН про изменение климата (1992)</w:t>
                  </w:r>
                </w:p>
                <w:p w:rsidR="003B0D09" w:rsidRDefault="003B0D09" w:rsidP="003B0D09">
                  <w:r>
                    <w:t>Дата принятия: 11 декабря 1997 года</w:t>
                  </w:r>
                </w:p>
                <w:p w:rsidR="003B0D09" w:rsidRDefault="003B0D09" w:rsidP="003B0D09">
                  <w:r>
                    <w:t>Начал действовать с: 16 февраля 2005 года</w:t>
                  </w:r>
                </w:p>
                <w:p w:rsidR="003B0D09" w:rsidRDefault="003B0D09" w:rsidP="003B0D09">
                  <w:r>
                    <w:t>Место подписания: Киото, Япония</w:t>
                  </w:r>
                </w:p>
                <w:p w:rsidR="003B0D09" w:rsidRDefault="003B0D09" w:rsidP="003B0D09">
                  <w:r>
                    <w:t>Количество стран-участниц: 187</w:t>
                  </w:r>
                </w:p>
              </w:txbxContent>
            </v:textbox>
          </v:shape>
        </w:pict>
      </w:r>
      <w:r>
        <w:rPr>
          <w:i/>
          <w:sz w:val="18"/>
          <w:szCs w:val="18"/>
          <w:lang w:val="uk-UA"/>
        </w:rPr>
        <w:br/>
      </w:r>
      <w:r>
        <w:rPr>
          <w:i/>
          <w:sz w:val="18"/>
          <w:szCs w:val="18"/>
          <w:lang w:val="uk-UA"/>
        </w:rPr>
        <w:br/>
      </w:r>
    </w:p>
    <w:p w:rsidR="003B0D09" w:rsidRDefault="003B0D09" w:rsidP="003B0D09">
      <w:pPr>
        <w:spacing w:after="0"/>
        <w:ind w:left="-1418"/>
        <w:rPr>
          <w:lang w:val="en-US"/>
        </w:rPr>
      </w:pPr>
      <w:r>
        <w:rPr>
          <w:lang w:val="uk-UA"/>
        </w:rPr>
        <w:br/>
      </w:r>
      <w:r>
        <w:rPr>
          <w:lang w:val="uk-UA"/>
        </w:rPr>
        <w:br/>
      </w:r>
      <w:r>
        <w:rPr>
          <w:lang w:val="uk-UA"/>
        </w:rPr>
        <w:br/>
      </w:r>
      <w:r>
        <w:rPr>
          <w:lang w:val="en-US"/>
        </w:rPr>
        <w:br/>
      </w:r>
      <w:r>
        <w:rPr>
          <w:lang w:val="en-US"/>
        </w:rPr>
        <w:br/>
      </w:r>
      <w:r>
        <w:rPr>
          <w:lang w:val="en-US"/>
        </w:rPr>
        <w:br/>
      </w:r>
      <w:r>
        <w:rPr>
          <w:lang w:val="en-US"/>
        </w:rPr>
        <w:br/>
      </w:r>
      <w:r>
        <w:rPr>
          <w:lang w:val="en-US"/>
        </w:rPr>
        <w:br/>
      </w:r>
      <w:r>
        <w:rPr>
          <w:lang w:val="en-US"/>
        </w:rPr>
        <w:br/>
      </w:r>
      <w:r>
        <w:rPr>
          <w:lang w:val="en-US"/>
        </w:rPr>
        <w:br/>
      </w:r>
      <w:r>
        <w:rPr>
          <w:lang w:val="en-US"/>
        </w:rPr>
        <w:br/>
      </w:r>
      <w:r>
        <w:rPr>
          <w:lang w:val="en-US"/>
        </w:rPr>
        <w:br/>
      </w:r>
    </w:p>
    <w:p w:rsidR="003B0D09" w:rsidRDefault="003B0D09">
      <w:pPr>
        <w:rPr>
          <w:lang w:val="en-US"/>
        </w:rPr>
      </w:pPr>
      <w:r>
        <w:rPr>
          <w:lang w:val="en-US"/>
        </w:rPr>
        <w:br w:type="page"/>
      </w:r>
    </w:p>
    <w:p w:rsidR="003B0D09" w:rsidRPr="003B0D09" w:rsidRDefault="003B0D09" w:rsidP="003C78B8">
      <w:pPr>
        <w:spacing w:after="0"/>
        <w:ind w:left="426"/>
      </w:pPr>
      <w:bookmarkStart w:id="9" w:name="Сод"/>
      <w:r w:rsidRPr="003B0D09">
        <w:lastRenderedPageBreak/>
        <w:t>Содержание</w:t>
      </w:r>
      <w:bookmarkEnd w:id="9"/>
      <w:r w:rsidRPr="003B0D09">
        <w:t xml:space="preserve"> </w:t>
      </w:r>
    </w:p>
    <w:p w:rsidR="003B0D09" w:rsidRPr="003B0D09" w:rsidRDefault="003B0D09" w:rsidP="003C78B8">
      <w:pPr>
        <w:spacing w:after="0"/>
        <w:ind w:left="426"/>
      </w:pPr>
      <w:r w:rsidRPr="003B0D09">
        <w:t>1</w:t>
      </w:r>
      <w:r w:rsidRPr="003B0D09">
        <w:tab/>
      </w:r>
      <w:hyperlink w:anchor="детали" w:history="1">
        <w:r w:rsidRPr="003C78B8">
          <w:rPr>
            <w:rStyle w:val="a5"/>
          </w:rPr>
          <w:t>Детали соглашения</w:t>
        </w:r>
      </w:hyperlink>
    </w:p>
    <w:p w:rsidR="003B0D09" w:rsidRPr="003B0D09" w:rsidRDefault="003B0D09" w:rsidP="003C78B8">
      <w:pPr>
        <w:spacing w:after="0"/>
        <w:ind w:left="426"/>
      </w:pPr>
      <w:r w:rsidRPr="003B0D09">
        <w:t>2</w:t>
      </w:r>
      <w:r w:rsidRPr="003B0D09">
        <w:tab/>
      </w:r>
      <w:hyperlink w:anchor="Будущ" w:history="1">
        <w:r w:rsidRPr="003C78B8">
          <w:rPr>
            <w:rStyle w:val="a5"/>
          </w:rPr>
          <w:t>Будущее протокола</w:t>
        </w:r>
      </w:hyperlink>
    </w:p>
    <w:p w:rsidR="003B0D09" w:rsidRPr="003B0D09" w:rsidRDefault="003B0D09" w:rsidP="003C78B8">
      <w:pPr>
        <w:spacing w:after="0"/>
        <w:ind w:left="426"/>
      </w:pPr>
    </w:p>
    <w:p w:rsidR="003B0D09" w:rsidRPr="003B0D09" w:rsidRDefault="003B0D09" w:rsidP="003C78B8">
      <w:pPr>
        <w:spacing w:after="0"/>
        <w:ind w:left="426"/>
      </w:pPr>
      <w:bookmarkStart w:id="10" w:name="детали"/>
      <w:r w:rsidRPr="003B0D09">
        <w:t>Детали соглашения</w:t>
      </w:r>
    </w:p>
    <w:bookmarkEnd w:id="10"/>
    <w:p w:rsidR="003B0D09" w:rsidRPr="003B0D09" w:rsidRDefault="003B0D09" w:rsidP="003C78B8">
      <w:pPr>
        <w:spacing w:after="0"/>
        <w:ind w:left="426"/>
      </w:pPr>
      <w:r w:rsidRPr="003B0D09">
        <w:t>Период подписания протокола открылся 16 марта 1998 года и завершился 15 марта 1999 года.</w:t>
      </w:r>
    </w:p>
    <w:p w:rsidR="003B0D09" w:rsidRPr="003B0D09" w:rsidRDefault="003B0D09" w:rsidP="003C78B8">
      <w:pPr>
        <w:spacing w:after="0"/>
        <w:ind w:left="426"/>
      </w:pPr>
      <w:r w:rsidRPr="003B0D09">
        <w:t>Киотский протокол стал первым глобальным соглашением об охране окружающей среды, основанным на рыночном механизме регулирования — механизме международной торговли квотами на выбросы парниковых газов. Первый период осуществления протокола начался 1 января 2008 года и продлился пять лет до 31 декабря 2012 года.</w:t>
      </w:r>
    </w:p>
    <w:p w:rsidR="003B0D09" w:rsidRPr="003B0D09" w:rsidRDefault="003B0D09" w:rsidP="003C78B8">
      <w:pPr>
        <w:spacing w:after="0"/>
        <w:ind w:left="426"/>
      </w:pPr>
      <w:r w:rsidRPr="003B0D09">
        <w:t xml:space="preserve">Страны Приложения </w:t>
      </w:r>
      <w:r w:rsidRPr="003B0D09">
        <w:rPr>
          <w:lang w:val="en-US"/>
        </w:rPr>
        <w:t>B</w:t>
      </w:r>
      <w:r w:rsidRPr="003B0D09">
        <w:t xml:space="preserve"> Протокола определили для себя количественные обязательства по ограничению либо сокращению выбросов на период с 1 января 2008 года по 31 декабря 2012 года. Цель ограничений — снизить в этот период совокупный средний уровень выбросов 6 типов газов (углекислый газ, метан, фторуглеводороды, фторуглероды, закись азота, гексафторид серы) на 5,2 % по сравнению с уровнем 1990 года.</w:t>
      </w:r>
    </w:p>
    <w:p w:rsidR="003B0D09" w:rsidRPr="003B0D09" w:rsidRDefault="003B0D09" w:rsidP="003C78B8">
      <w:pPr>
        <w:spacing w:after="0"/>
        <w:ind w:left="426"/>
      </w:pPr>
      <w:r w:rsidRPr="003B0D09">
        <w:t>Основные обязательства взяли на себя индустриальные страны:</w:t>
      </w:r>
    </w:p>
    <w:p w:rsidR="003B0D09" w:rsidRPr="003B0D09" w:rsidRDefault="003B0D09" w:rsidP="003C78B8">
      <w:pPr>
        <w:spacing w:after="0"/>
        <w:ind w:left="426"/>
      </w:pPr>
      <w:r w:rsidRPr="003B0D09">
        <w:t>Евросоюз должен сократить выбросы на 8 %</w:t>
      </w:r>
    </w:p>
    <w:p w:rsidR="003B0D09" w:rsidRPr="003B0D09" w:rsidRDefault="003B0D09" w:rsidP="003C78B8">
      <w:pPr>
        <w:spacing w:after="0"/>
        <w:ind w:left="426"/>
      </w:pPr>
      <w:r w:rsidRPr="003B0D09">
        <w:t>США — на 7%</w:t>
      </w:r>
    </w:p>
    <w:p w:rsidR="003B0D09" w:rsidRPr="003B0D09" w:rsidRDefault="003B0D09" w:rsidP="003C78B8">
      <w:pPr>
        <w:spacing w:after="0"/>
        <w:ind w:left="426"/>
      </w:pPr>
      <w:r w:rsidRPr="003B0D09">
        <w:t>Япония и Канада — на 6 %</w:t>
      </w:r>
    </w:p>
    <w:p w:rsidR="003B0D09" w:rsidRPr="003B0D09" w:rsidRDefault="003B0D09" w:rsidP="003C78B8">
      <w:pPr>
        <w:spacing w:after="0"/>
        <w:ind w:left="426"/>
      </w:pPr>
      <w:r w:rsidRPr="003B0D09">
        <w:t>Страны Восточной Европы и Прибалтики — в среднем на 8 %</w:t>
      </w:r>
    </w:p>
    <w:p w:rsidR="003B0D09" w:rsidRPr="003B0D09" w:rsidRDefault="003B0D09" w:rsidP="003C78B8">
      <w:pPr>
        <w:spacing w:after="0"/>
        <w:ind w:left="426"/>
      </w:pPr>
      <w:r w:rsidRPr="003B0D09">
        <w:t>Россия и Украина — сохранить среднегодовые выбросы в 2008—2012 годах на уровне 1990 года</w:t>
      </w:r>
    </w:p>
    <w:p w:rsidR="003B0D09" w:rsidRPr="003B0D09" w:rsidRDefault="003B0D09" w:rsidP="003C78B8">
      <w:pPr>
        <w:spacing w:after="0"/>
        <w:ind w:left="426"/>
      </w:pPr>
      <w:r w:rsidRPr="003B0D09">
        <w:t>Развивающиеся страны, включая Китай и Индию, обязательств на себя не брали.</w:t>
      </w:r>
    </w:p>
    <w:p w:rsidR="003B0D09" w:rsidRPr="003B0D09" w:rsidRDefault="003B0D09" w:rsidP="003C78B8">
      <w:pPr>
        <w:spacing w:after="0"/>
        <w:ind w:left="426"/>
      </w:pPr>
      <w:bookmarkStart w:id="11" w:name="Будущ"/>
    </w:p>
    <w:p w:rsidR="003B0D09" w:rsidRPr="003B0D09" w:rsidRDefault="003B0D09" w:rsidP="003C78B8">
      <w:pPr>
        <w:spacing w:after="0"/>
        <w:ind w:left="426"/>
      </w:pPr>
      <w:r w:rsidRPr="003B0D09">
        <w:t>Будущее протокола</w:t>
      </w:r>
    </w:p>
    <w:bookmarkEnd w:id="11"/>
    <w:p w:rsidR="003B0D09" w:rsidRPr="003B0D09" w:rsidRDefault="003B0D09" w:rsidP="003C78B8">
      <w:pPr>
        <w:spacing w:after="0"/>
        <w:ind w:left="426"/>
      </w:pPr>
      <w:r w:rsidRPr="003B0D09">
        <w:t>В 2011 году на конференц</w:t>
      </w:r>
      <w:proofErr w:type="gramStart"/>
      <w:r w:rsidRPr="003B0D09">
        <w:t>ии ОО</w:t>
      </w:r>
      <w:proofErr w:type="gramEnd"/>
      <w:r w:rsidRPr="003B0D09">
        <w:t>Н по изменению климата в Дурбане была достигнута договорённость о продлении действия Киотского протокола до принятия нового соглашения, хотя, по оценке «Гардиан», вероятно, что лишь страны ЕС и немногие другие будут участвовать в продлённом протоколе.</w:t>
      </w:r>
    </w:p>
    <w:p w:rsidR="003B0D09" w:rsidRPr="003B0D09" w:rsidRDefault="003B0D09" w:rsidP="003C78B8">
      <w:pPr>
        <w:spacing w:after="0"/>
        <w:ind w:left="426"/>
      </w:pPr>
    </w:p>
    <w:p w:rsidR="003B0D09" w:rsidRPr="003B0D09" w:rsidRDefault="003B0D09" w:rsidP="003C78B8">
      <w:pPr>
        <w:spacing w:after="0"/>
        <w:ind w:left="426"/>
      </w:pPr>
    </w:p>
    <w:p w:rsidR="003B0D09" w:rsidRPr="003B0D09" w:rsidRDefault="003B0D09" w:rsidP="003C78B8">
      <w:pPr>
        <w:spacing w:after="0"/>
        <w:ind w:left="426"/>
      </w:pPr>
    </w:p>
    <w:p w:rsidR="003C78B8" w:rsidRDefault="003C78B8" w:rsidP="003C78B8">
      <w:pPr>
        <w:spacing w:after="0"/>
        <w:ind w:left="426"/>
      </w:pPr>
    </w:p>
    <w:p w:rsidR="003C78B8" w:rsidRDefault="003C78B8">
      <w:r>
        <w:br w:type="page"/>
      </w:r>
    </w:p>
    <w:p w:rsidR="003B0D09" w:rsidRPr="003B0D09" w:rsidRDefault="003C78B8" w:rsidP="003C78B8">
      <w:pPr>
        <w:spacing w:after="0"/>
        <w:ind w:left="426"/>
      </w:pPr>
      <w:bookmarkStart w:id="12" w:name="Фото"/>
      <w:r>
        <w:rPr>
          <w:noProof/>
          <w:lang w:eastAsia="ru-RU"/>
        </w:rPr>
        <w:lastRenderedPageBreak/>
        <w:drawing>
          <wp:inline distT="0" distB="0" distL="0" distR="0">
            <wp:extent cx="9251950" cy="4281170"/>
            <wp:effectExtent l="19050" t="0" r="6350" b="0"/>
            <wp:docPr id="5" name="Рисунок 4" descr="1357px-Kyoto_Protocol_participation_map_2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57px-Kyoto_Protocol_participation_map_2010.png"/>
                    <pic:cNvPicPr/>
                  </pic:nvPicPr>
                  <pic:blipFill>
                    <a:blip r:embed="rId9" cstate="print"/>
                    <a:stretch>
                      <a:fillRect/>
                    </a:stretch>
                  </pic:blipFill>
                  <pic:spPr>
                    <a:xfrm>
                      <a:off x="0" y="0"/>
                      <a:ext cx="9251950" cy="4281170"/>
                    </a:xfrm>
                    <a:prstGeom prst="rect">
                      <a:avLst/>
                    </a:prstGeom>
                  </pic:spPr>
                </pic:pic>
              </a:graphicData>
            </a:graphic>
          </wp:inline>
        </w:drawing>
      </w:r>
      <w:bookmarkEnd w:id="12"/>
    </w:p>
    <w:sectPr w:rsidR="003B0D09" w:rsidRPr="003B0D09" w:rsidSect="00B6455D">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08"/>
  <w:drawingGridHorizontalSpacing w:val="110"/>
  <w:displayHorizontalDrawingGridEvery w:val="2"/>
  <w:characterSpacingControl w:val="doNotCompress"/>
  <w:compat/>
  <w:rsids>
    <w:rsidRoot w:val="002F7FDE"/>
    <w:rsid w:val="002F7FDE"/>
    <w:rsid w:val="003B0D09"/>
    <w:rsid w:val="003C78B8"/>
    <w:rsid w:val="004339F3"/>
    <w:rsid w:val="00515F32"/>
    <w:rsid w:val="006A4D7A"/>
    <w:rsid w:val="007178B4"/>
    <w:rsid w:val="00825347"/>
    <w:rsid w:val="008F16CD"/>
    <w:rsid w:val="00901D0A"/>
    <w:rsid w:val="00B6455D"/>
    <w:rsid w:val="00CA7F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347"/>
  </w:style>
  <w:style w:type="paragraph" w:styleId="2">
    <w:name w:val="heading 2"/>
    <w:basedOn w:val="a"/>
    <w:next w:val="a"/>
    <w:link w:val="20"/>
    <w:uiPriority w:val="9"/>
    <w:unhideWhenUsed/>
    <w:qFormat/>
    <w:rsid w:val="00B6455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7F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7FDE"/>
    <w:rPr>
      <w:rFonts w:ascii="Tahoma" w:hAnsi="Tahoma" w:cs="Tahoma"/>
      <w:sz w:val="16"/>
      <w:szCs w:val="16"/>
    </w:rPr>
  </w:style>
  <w:style w:type="character" w:styleId="a5">
    <w:name w:val="Hyperlink"/>
    <w:basedOn w:val="a0"/>
    <w:uiPriority w:val="99"/>
    <w:unhideWhenUsed/>
    <w:rsid w:val="00B6455D"/>
    <w:rPr>
      <w:color w:val="0000FF" w:themeColor="hyperlink"/>
      <w:u w:val="single"/>
    </w:rPr>
  </w:style>
  <w:style w:type="character" w:customStyle="1" w:styleId="20">
    <w:name w:val="Заголовок 2 Знак"/>
    <w:basedOn w:val="a0"/>
    <w:link w:val="2"/>
    <w:uiPriority w:val="9"/>
    <w:rsid w:val="00B6455D"/>
    <w:rPr>
      <w:rFonts w:asciiTheme="majorHAnsi" w:eastAsiaTheme="majorEastAsia" w:hAnsiTheme="majorHAnsi" w:cstheme="majorBidi"/>
      <w:b/>
      <w:bCs/>
      <w:color w:val="4F81BD" w:themeColor="accent1"/>
      <w:sz w:val="26"/>
      <w:szCs w:val="26"/>
    </w:rPr>
  </w:style>
  <w:style w:type="paragraph" w:styleId="a6">
    <w:name w:val="List Paragraph"/>
    <w:basedOn w:val="a"/>
    <w:uiPriority w:val="34"/>
    <w:qFormat/>
    <w:rsid w:val="00B6455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1060;&#1086;&#1090;&#1086;"/><Relationship Id="rId3" Type="http://schemas.openxmlformats.org/officeDocument/2006/relationships/settings" Target="settings.xml"/><Relationship Id="rId7" Type="http://schemas.openxmlformats.org/officeDocument/2006/relationships/hyperlink" Target="#&#1060;&#1086;&#1090;&#1086;"/><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1060;&#1086;&#1090;&#1086;"/><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31B637-B5CB-4103-9142-452AFFE30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2722</Words>
  <Characters>15519</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LPK</Company>
  <LinksUpToDate>false</LinksUpToDate>
  <CharactersWithSpaces>18205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5</cp:revision>
  <dcterms:created xsi:type="dcterms:W3CDTF">2016-02-20T09:56:00Z</dcterms:created>
  <dcterms:modified xsi:type="dcterms:W3CDTF">2016-02-20T11:59:00Z</dcterms:modified>
</cp:coreProperties>
</file>